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COORDENAÇÃO DE APERFEIÇOAMENTO DE PESSOAL DE NÍVEL SUPERIOR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 xml:space="preserve">PORTARIA Nº 81, DE </w:t>
      </w:r>
      <w:proofErr w:type="gramStart"/>
      <w:r w:rsidRPr="00AC2D83">
        <w:rPr>
          <w:sz w:val="24"/>
          <w:szCs w:val="24"/>
        </w:rPr>
        <w:t>3</w:t>
      </w:r>
      <w:proofErr w:type="gramEnd"/>
      <w:r w:rsidRPr="00AC2D83">
        <w:rPr>
          <w:sz w:val="24"/>
          <w:szCs w:val="24"/>
        </w:rPr>
        <w:t xml:space="preserve"> DE JUNHO DE 2016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Define as categorias de docentes que compõem os Programas de Pós-Graduação (</w:t>
      </w:r>
      <w:proofErr w:type="spellStart"/>
      <w:r w:rsidRPr="00AC2D83">
        <w:rPr>
          <w:sz w:val="24"/>
          <w:szCs w:val="24"/>
        </w:rPr>
        <w:t>PPG's</w:t>
      </w:r>
      <w:proofErr w:type="spellEnd"/>
      <w:r w:rsidRPr="00AC2D83">
        <w:rPr>
          <w:sz w:val="24"/>
          <w:szCs w:val="24"/>
        </w:rPr>
        <w:t>) stricto sensu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O PRESIDENTE SUBSTITUTO DA COORDENAÇÃO DE APERFEIÇOAMENTO DE PESSOAL DE NÍVEL SUPERIOR</w:t>
      </w:r>
      <w:proofErr w:type="gramStart"/>
      <w:r w:rsidRPr="00AC2D83">
        <w:rPr>
          <w:sz w:val="24"/>
          <w:szCs w:val="24"/>
        </w:rPr>
        <w:t>, CAPES</w:t>
      </w:r>
      <w:proofErr w:type="gramEnd"/>
      <w:r w:rsidRPr="00AC2D83">
        <w:rPr>
          <w:sz w:val="24"/>
          <w:szCs w:val="24"/>
        </w:rPr>
        <w:t xml:space="preserve">, no uso das atribuições conferidas pelo Estatuto aprovado pelo Decreto nº 7.692, de 02 de março de 2012, e considerando a necessidade de definição, para efeito de enquadramento nos programas e cursos de pós-graduação, das categorias de docentes dos Programas de Pós-Graduação - </w:t>
      </w:r>
      <w:proofErr w:type="spellStart"/>
      <w:r w:rsidRPr="00AC2D83">
        <w:rPr>
          <w:sz w:val="24"/>
          <w:szCs w:val="24"/>
        </w:rPr>
        <w:t>PPG's</w:t>
      </w:r>
      <w:proofErr w:type="spellEnd"/>
      <w:r w:rsidRPr="00AC2D83">
        <w:rPr>
          <w:sz w:val="24"/>
          <w:szCs w:val="24"/>
        </w:rPr>
        <w:t xml:space="preserve"> - do Sistema Nacional de Pós-Graduação - SNPG, resolve:</w:t>
      </w:r>
    </w:p>
    <w:p w:rsidR="00B5416D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Art. 1º Definir as categorias de docentes que compõem os</w:t>
      </w:r>
      <w:r w:rsidR="00AC2D83">
        <w:rPr>
          <w:sz w:val="24"/>
          <w:szCs w:val="24"/>
        </w:rPr>
        <w:t xml:space="preserve"> </w:t>
      </w:r>
      <w:proofErr w:type="spellStart"/>
      <w:r w:rsidRPr="00AC2D83">
        <w:rPr>
          <w:sz w:val="24"/>
          <w:szCs w:val="24"/>
        </w:rPr>
        <w:t>PPG's</w:t>
      </w:r>
      <w:proofErr w:type="spellEnd"/>
      <w:r w:rsidRPr="00AC2D83">
        <w:rPr>
          <w:sz w:val="24"/>
          <w:szCs w:val="24"/>
        </w:rPr>
        <w:t>, para efeitos de registro na Plataforma Sucupira, e avaliações realizadas pela CAPES.</w:t>
      </w:r>
    </w:p>
    <w:p w:rsidR="00AC2D83" w:rsidRPr="00AC2D83" w:rsidRDefault="00AC2D83" w:rsidP="00AC2D83">
      <w:pPr>
        <w:jc w:val="both"/>
        <w:rPr>
          <w:sz w:val="24"/>
          <w:szCs w:val="24"/>
        </w:rPr>
      </w:pP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CAPÍTULO I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DISPOSIÇÕES PRELIMINARES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 xml:space="preserve">Art. 2º O corpo docente dos </w:t>
      </w:r>
      <w:proofErr w:type="spellStart"/>
      <w:r w:rsidRPr="00AC2D83">
        <w:rPr>
          <w:sz w:val="24"/>
          <w:szCs w:val="24"/>
        </w:rPr>
        <w:t>PPG's</w:t>
      </w:r>
      <w:proofErr w:type="spellEnd"/>
      <w:r w:rsidRPr="00AC2D83">
        <w:rPr>
          <w:sz w:val="24"/>
          <w:szCs w:val="24"/>
        </w:rPr>
        <w:t xml:space="preserve"> é composto por </w:t>
      </w:r>
      <w:proofErr w:type="gramStart"/>
      <w:r w:rsidRPr="00AC2D83">
        <w:rPr>
          <w:sz w:val="24"/>
          <w:szCs w:val="24"/>
        </w:rPr>
        <w:t>3</w:t>
      </w:r>
      <w:proofErr w:type="gramEnd"/>
      <w:r w:rsidRPr="00AC2D83">
        <w:rPr>
          <w:sz w:val="24"/>
          <w:szCs w:val="24"/>
        </w:rPr>
        <w:t xml:space="preserve"> (três) categorias de docentes: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I - docentes permanentes, constituindo o núcleo principal de docentes do programa;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II - docentes e pesquisadores visitantes;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 xml:space="preserve">III </w:t>
      </w:r>
      <w:proofErr w:type="gramStart"/>
      <w:r w:rsidRPr="00AC2D83">
        <w:rPr>
          <w:sz w:val="24"/>
          <w:szCs w:val="24"/>
        </w:rPr>
        <w:t>-docentes</w:t>
      </w:r>
      <w:proofErr w:type="gramEnd"/>
      <w:r w:rsidRPr="00AC2D83">
        <w:rPr>
          <w:sz w:val="24"/>
          <w:szCs w:val="24"/>
        </w:rPr>
        <w:t xml:space="preserve"> colaboradores.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CAPÍTULO II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DOS DOCENTES PERMANENTES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Art. 3º Integram a categoria de permanentes os docentes enquadrados e declarados anualmente pelo PPG na plataforma Sucupira e que atendam a todos os seguintes pré-requisitos: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I - desenvolvimento de atividades de ensino na pós-graduação e/ou graduação;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II - participação de projetos de pesquisa do PPG;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III - orientação de alunos de mestrado ou doutorado do PPG, sendo devidamente credenciado como orientador pela instituição;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 xml:space="preserve">IV - vínculo funcional-administrativo com a instituição ou, em </w:t>
      </w:r>
      <w:proofErr w:type="gramStart"/>
      <w:r w:rsidRPr="00AC2D83">
        <w:rPr>
          <w:sz w:val="24"/>
          <w:szCs w:val="24"/>
        </w:rPr>
        <w:t>caráter excepcional, consideradas</w:t>
      </w:r>
      <w:proofErr w:type="gramEnd"/>
      <w:r w:rsidRPr="00AC2D83">
        <w:rPr>
          <w:sz w:val="24"/>
          <w:szCs w:val="24"/>
        </w:rPr>
        <w:t xml:space="preserve"> as especificidades de áreas, instituições e regiões, e se enquadrem em uma das seguintes condições: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lastRenderedPageBreak/>
        <w:t>a) quando recebam bolsa de fixação de docentes ou pesquisadores de agências federais ou estaduais de fomento;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b) quando, na qualidade de professor ou pesquisador aposentado, tenham firmado com a instituição termo de compromisso de participação como docente do PPG;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c) quando tenham sido cedidos, por acordo formal, para atuar como docente do PPG;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d) a critério do PPG, quando o docente estiver em afastamento longo para a realização de estágio pós-doutoral, estágio sênior ou atividade relevante em Educação, Ciência, Tecnologia e Inovação e não atender ao estabelecido pelos incisos I e II deste artigo, desde que atendidos os demais requisitos fixados.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 xml:space="preserve">Art. 4º A atuação como docente permanente poderá se dar, no máximo, em até </w:t>
      </w:r>
      <w:proofErr w:type="gramStart"/>
      <w:r w:rsidRPr="00AC2D83">
        <w:rPr>
          <w:sz w:val="24"/>
          <w:szCs w:val="24"/>
        </w:rPr>
        <w:t>3</w:t>
      </w:r>
      <w:proofErr w:type="gramEnd"/>
      <w:r w:rsidRPr="00AC2D83">
        <w:rPr>
          <w:sz w:val="24"/>
          <w:szCs w:val="24"/>
        </w:rPr>
        <w:t xml:space="preserve"> (três) </w:t>
      </w:r>
      <w:proofErr w:type="spellStart"/>
      <w:r w:rsidRPr="00AC2D83">
        <w:rPr>
          <w:sz w:val="24"/>
          <w:szCs w:val="24"/>
        </w:rPr>
        <w:t>PPG's</w:t>
      </w:r>
      <w:proofErr w:type="spellEnd"/>
      <w:r w:rsidRPr="00AC2D83">
        <w:rPr>
          <w:sz w:val="24"/>
          <w:szCs w:val="24"/>
        </w:rPr>
        <w:t>.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 xml:space="preserve">I - O docente poderá ser declarado permanente em </w:t>
      </w:r>
      <w:proofErr w:type="spellStart"/>
      <w:r w:rsidRPr="00AC2D83">
        <w:rPr>
          <w:sz w:val="24"/>
          <w:szCs w:val="24"/>
        </w:rPr>
        <w:t>qualque</w:t>
      </w:r>
      <w:proofErr w:type="spellEnd"/>
      <w:r w:rsidRPr="00AC2D83">
        <w:rPr>
          <w:sz w:val="24"/>
          <w:szCs w:val="24"/>
        </w:rPr>
        <w:t xml:space="preserve"> r combinação de </w:t>
      </w:r>
      <w:proofErr w:type="spellStart"/>
      <w:r w:rsidRPr="00AC2D83">
        <w:rPr>
          <w:sz w:val="24"/>
          <w:szCs w:val="24"/>
        </w:rPr>
        <w:t>PPG's</w:t>
      </w:r>
      <w:proofErr w:type="spellEnd"/>
      <w:r w:rsidRPr="00AC2D83">
        <w:rPr>
          <w:sz w:val="24"/>
          <w:szCs w:val="24"/>
        </w:rPr>
        <w:t xml:space="preserve">, sejam eles programas acadêmicos ou profissionais, programas com composição tradicional, em redes ou outras formas associativas, de quaisquer áreas de avaliação de quaisquer instituições desde que atue em no máximo </w:t>
      </w:r>
      <w:proofErr w:type="gramStart"/>
      <w:r w:rsidRPr="00AC2D83">
        <w:rPr>
          <w:sz w:val="24"/>
          <w:szCs w:val="24"/>
        </w:rPr>
        <w:t>3</w:t>
      </w:r>
      <w:proofErr w:type="gramEnd"/>
      <w:r w:rsidRPr="00AC2D83">
        <w:rPr>
          <w:sz w:val="24"/>
          <w:szCs w:val="24"/>
        </w:rPr>
        <w:t xml:space="preserve"> (três) </w:t>
      </w:r>
      <w:proofErr w:type="spellStart"/>
      <w:r w:rsidRPr="00AC2D83">
        <w:rPr>
          <w:sz w:val="24"/>
          <w:szCs w:val="24"/>
        </w:rPr>
        <w:t>PPG's</w:t>
      </w:r>
      <w:proofErr w:type="spellEnd"/>
      <w:r w:rsidRPr="00AC2D83">
        <w:rPr>
          <w:sz w:val="24"/>
          <w:szCs w:val="24"/>
        </w:rPr>
        <w:t>;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 xml:space="preserve">II - A carga horária dedicada a cada PPG do qual participe como docente permanente deverá ser estabelecida juntamente aos respectivos Coordenadores dos </w:t>
      </w:r>
      <w:proofErr w:type="spellStart"/>
      <w:r w:rsidRPr="00AC2D83">
        <w:rPr>
          <w:sz w:val="24"/>
          <w:szCs w:val="24"/>
        </w:rPr>
        <w:t>PPG's</w:t>
      </w:r>
      <w:proofErr w:type="spellEnd"/>
      <w:r w:rsidRPr="00AC2D83">
        <w:rPr>
          <w:sz w:val="24"/>
          <w:szCs w:val="24"/>
        </w:rPr>
        <w:t>, respeitando-se o regime jurídico pelo qual sua relação trabalhista é regida, bem como as orientações previstas nos Documentos de Área.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III - A estabilidade, ao longo do quadriênio, do conjunto de docentes declarados como permanentes pelo PPG será objeto de acompanhamento e de avaliação sistemática pelas coordenações e comissões de avaliação de área e pela Diretoria de Avaliação;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 xml:space="preserve">IV- Por ocasião de acompanhamentos e avaliações dos </w:t>
      </w:r>
      <w:proofErr w:type="spellStart"/>
      <w:r w:rsidRPr="00AC2D83">
        <w:rPr>
          <w:sz w:val="24"/>
          <w:szCs w:val="24"/>
        </w:rPr>
        <w:t>PPG's</w:t>
      </w:r>
      <w:proofErr w:type="spellEnd"/>
      <w:r w:rsidRPr="00AC2D83">
        <w:rPr>
          <w:sz w:val="24"/>
          <w:szCs w:val="24"/>
        </w:rPr>
        <w:t xml:space="preserve">, </w:t>
      </w:r>
      <w:proofErr w:type="gramStart"/>
      <w:r w:rsidRPr="00AC2D83">
        <w:rPr>
          <w:sz w:val="24"/>
          <w:szCs w:val="24"/>
        </w:rPr>
        <w:t>será</w:t>
      </w:r>
      <w:proofErr w:type="gramEnd"/>
      <w:r w:rsidRPr="00AC2D83">
        <w:rPr>
          <w:sz w:val="24"/>
          <w:szCs w:val="24"/>
        </w:rPr>
        <w:t xml:space="preserve"> requerido dos mesmos as justificativas das ocorrências de credenciamentos e descredenciamentos, ano a ano, dos integrantes desta categoria de acordo com as regras bem definidas que devem constar obrigatoriamente nos respectivos regimentos.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Art. 5º A relação de orientandos/orientador deve atender às orientações previstas pelo Conselho Técnico e Científico da Educação Superior (CTC-ES) e nos Documentos de Área.</w:t>
      </w:r>
    </w:p>
    <w:p w:rsidR="00B5416D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 xml:space="preserve">Art. 6º A pontuação da produção intelectual dos docentes permanentes, entre os </w:t>
      </w:r>
      <w:proofErr w:type="spellStart"/>
      <w:r w:rsidRPr="00AC2D83">
        <w:rPr>
          <w:sz w:val="24"/>
          <w:szCs w:val="24"/>
        </w:rPr>
        <w:t>PPG's</w:t>
      </w:r>
      <w:proofErr w:type="spellEnd"/>
      <w:r w:rsidRPr="00AC2D83">
        <w:rPr>
          <w:sz w:val="24"/>
          <w:szCs w:val="24"/>
        </w:rPr>
        <w:t xml:space="preserve"> dos quais participa, será definida em cada área de avaliação, atendidas as diretrizes que possam ser estabelecidas na grande área de conhecimento e pelo Conselho Técnico e Científico da Educação Superior (CTC-ES), bem como aquelas emanadas da Diretoria de Avaliação.</w:t>
      </w:r>
    </w:p>
    <w:p w:rsidR="00AC2D83" w:rsidRDefault="00AC2D83" w:rsidP="00AC2D83">
      <w:pPr>
        <w:jc w:val="both"/>
        <w:rPr>
          <w:sz w:val="24"/>
          <w:szCs w:val="24"/>
        </w:rPr>
      </w:pPr>
    </w:p>
    <w:p w:rsidR="00AC2D83" w:rsidRPr="00AC2D83" w:rsidRDefault="00AC2D83" w:rsidP="00AC2D83">
      <w:pPr>
        <w:jc w:val="both"/>
        <w:rPr>
          <w:sz w:val="24"/>
          <w:szCs w:val="24"/>
        </w:rPr>
      </w:pP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lastRenderedPageBreak/>
        <w:t>CAPÍTULO III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DOS DOCENTES E PESQUISADORES VISITANTES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Art. 7º Integram a categoria de visitantes os docentes ou pesquisadores com vínculo funcional administrativo com outras instituições, brasileiras ou não, que sejam liberados, mediante acordo formal, das atividades correspondentes a tal vínculo para colaborarem, por um período contínuo de tempo e em regime de dedicação integral, em projeto de pesquisa e/ou atividades de ensino no programa, permitindo-se que atuem como orientadores e em atividades de extensão.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Parágrafo único. A atuação dos docentes ou pesquisadores visitantes no programa deverá ser viabilizada por contrato de trabalho por tempo determinado com a instituição ou por bolsa concedida para esse fim, pela própria instituição ou por agência de fomento.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Art. 8º A pontuação da produção intelectual dos docentes visitantes, será definida em cada área de avaliação, atendidas as diretrizes que possam ser estabelecidas na grande área de conhecimento e pelo Conselho Técnico e Científico da Educação Superior (CTC-ES), bem como aquelas emanadas da Diretoria de Avaliação.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CAPÍTULO IV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DOS DOCENTES COLABORADORES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Art. 9º Integram a categoria de colaboradores os demais membros do corpo docente do programa que não atendam aos requisitos para serem enquadrados como docentes permanentes ou como visitantes, incluídos os bolsistas de pós-doutorado, mas que participem de forma sistemática do desenvolvimento de projetos de pesquisa ou atividades de ensino ou extensão e/ou da orientação de estudantes, independentemente de possuírem ou não vínculo com a instituição.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 xml:space="preserve">I - O desempenho de atividades esporádicas como conferencista, membro de banca de exame ou </w:t>
      </w:r>
      <w:proofErr w:type="spellStart"/>
      <w:proofErr w:type="gramStart"/>
      <w:r w:rsidRPr="00AC2D83">
        <w:rPr>
          <w:sz w:val="24"/>
          <w:szCs w:val="24"/>
        </w:rPr>
        <w:t>co-autor</w:t>
      </w:r>
      <w:proofErr w:type="spellEnd"/>
      <w:proofErr w:type="gramEnd"/>
      <w:r w:rsidRPr="00AC2D83">
        <w:rPr>
          <w:sz w:val="24"/>
          <w:szCs w:val="24"/>
        </w:rPr>
        <w:t xml:space="preserve"> de trabalhos não caracteriza um profissional como integrante do corpo docente do programa, não podendo o mesmo ser enquadrado como docente colaborador;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 xml:space="preserve">II - Informações sobre atividades esporádicas do colaborador como conferencista, membro de banca de exame ou </w:t>
      </w:r>
      <w:proofErr w:type="spellStart"/>
      <w:proofErr w:type="gramStart"/>
      <w:r w:rsidRPr="00AC2D83">
        <w:rPr>
          <w:sz w:val="24"/>
          <w:szCs w:val="24"/>
        </w:rPr>
        <w:t>co-autor</w:t>
      </w:r>
      <w:proofErr w:type="spellEnd"/>
      <w:proofErr w:type="gramEnd"/>
      <w:r w:rsidRPr="00AC2D83">
        <w:rPr>
          <w:sz w:val="24"/>
          <w:szCs w:val="24"/>
        </w:rPr>
        <w:t xml:space="preserve"> de eventual trabalho, quando relatadas por um programa ou curso de pós-graduação, poderão complementar a análise da atuação do programa.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 xml:space="preserve">Art. 10. Revogam-se as Portarias nº 174, de 30 de dezembro de 2014, publicada no </w:t>
      </w:r>
      <w:proofErr w:type="gramStart"/>
      <w:r w:rsidRPr="00AC2D83">
        <w:rPr>
          <w:sz w:val="24"/>
          <w:szCs w:val="24"/>
        </w:rPr>
        <w:t>D.O.</w:t>
      </w:r>
      <w:proofErr w:type="gramEnd"/>
      <w:r w:rsidRPr="00AC2D83">
        <w:rPr>
          <w:sz w:val="24"/>
          <w:szCs w:val="24"/>
        </w:rPr>
        <w:t>U de 31 de dezembro de 2014, seção 1, página 86; e nº 50, de 22 de abril de 2015, publicada no Diário Oficial da União de 28 de abril de 2015, Seção 1, página 10.</w:t>
      </w:r>
    </w:p>
    <w:p w:rsidR="00B5416D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Art. 11. Esta Portaria entra em vigor na data de sua publicação.</w:t>
      </w:r>
    </w:p>
    <w:p w:rsidR="00F35854" w:rsidRPr="00AC2D83" w:rsidRDefault="00B5416D" w:rsidP="00AC2D83">
      <w:pPr>
        <w:jc w:val="both"/>
        <w:rPr>
          <w:sz w:val="24"/>
          <w:szCs w:val="24"/>
        </w:rPr>
      </w:pPr>
      <w:r w:rsidRPr="00AC2D83">
        <w:rPr>
          <w:sz w:val="24"/>
          <w:szCs w:val="24"/>
        </w:rPr>
        <w:t>ARLINDO PHILIPPI JR</w:t>
      </w:r>
      <w:bookmarkStart w:id="0" w:name="_GoBack"/>
      <w:bookmarkEnd w:id="0"/>
    </w:p>
    <w:sectPr w:rsidR="00F35854" w:rsidRPr="00AC2D83" w:rsidSect="00AC2D83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6D"/>
    <w:rsid w:val="00AC2D83"/>
    <w:rsid w:val="00B5416D"/>
    <w:rsid w:val="00F3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1025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asdada</cp:lastModifiedBy>
  <cp:revision>1</cp:revision>
  <dcterms:created xsi:type="dcterms:W3CDTF">2016-06-27T18:25:00Z</dcterms:created>
  <dcterms:modified xsi:type="dcterms:W3CDTF">2016-06-27T18:36:00Z</dcterms:modified>
</cp:coreProperties>
</file>