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7BD4" w14:textId="64C36CFC" w:rsidR="00FA53D4" w:rsidRDefault="0020407C">
      <w:pPr>
        <w:spacing w:before="57" w:after="57" w:line="240" w:lineRule="auto"/>
        <w:jc w:val="center"/>
        <w:rPr>
          <w:rFonts w:eastAsia="Arial Narrow" w:cs="Arial Narrow"/>
          <w:b/>
          <w:color w:val="000000"/>
        </w:rPr>
      </w:pPr>
      <w:r w:rsidRPr="008C18F5">
        <w:rPr>
          <w:rFonts w:eastAsia="Arial Narrow" w:cs="Arial Narrow"/>
          <w:b/>
        </w:rPr>
        <w:t xml:space="preserve">ANEXO </w:t>
      </w:r>
      <w:r w:rsidR="003E565E" w:rsidRPr="008C18F5">
        <w:rPr>
          <w:rFonts w:eastAsia="Arial Narrow" w:cs="Arial Narrow"/>
          <w:b/>
        </w:rPr>
        <w:t>III</w:t>
      </w:r>
      <w:r w:rsidR="001C58A9">
        <w:rPr>
          <w:rFonts w:eastAsia="Arial Narrow" w:cs="Arial Narrow"/>
          <w:b/>
        </w:rPr>
        <w:t xml:space="preserve"> C -</w:t>
      </w:r>
      <w:r w:rsidRPr="008C18F5">
        <w:rPr>
          <w:rFonts w:eastAsia="Arial Narrow" w:cs="Arial Narrow"/>
          <w:b/>
        </w:rPr>
        <w:t xml:space="preserve"> DA </w:t>
      </w:r>
      <w:r w:rsidRPr="008C18F5">
        <w:rPr>
          <w:rFonts w:eastAsia="Arial Narrow" w:cs="Arial Narrow"/>
          <w:b/>
          <w:color w:val="000000"/>
        </w:rPr>
        <w:t xml:space="preserve">INSTRUÇÃO </w:t>
      </w:r>
      <w:r w:rsidR="00337921" w:rsidRPr="00337921">
        <w:rPr>
          <w:rFonts w:eastAsia="Arial Narrow" w:cs="Arial Narrow"/>
          <w:b/>
          <w:color w:val="000000"/>
        </w:rPr>
        <w:t>DE SERVIÇO</w:t>
      </w:r>
      <w:r w:rsidRPr="008C18F5">
        <w:rPr>
          <w:rFonts w:eastAsia="Arial Narrow" w:cs="Arial Narrow"/>
          <w:b/>
          <w:color w:val="000000"/>
        </w:rPr>
        <w:t xml:space="preserve"> Nº </w:t>
      </w:r>
      <w:r w:rsidR="00030002" w:rsidRPr="008C18F5">
        <w:rPr>
          <w:rFonts w:eastAsia="Arial Narrow" w:cs="Arial Narrow"/>
          <w:b/>
          <w:color w:val="000000"/>
        </w:rPr>
        <w:t>01/2023</w:t>
      </w:r>
      <w:r w:rsidRPr="008C18F5">
        <w:rPr>
          <w:rFonts w:eastAsia="Arial Narrow" w:cs="Arial Narrow"/>
          <w:b/>
          <w:color w:val="000000"/>
        </w:rPr>
        <w:t xml:space="preserve">-PRAF </w:t>
      </w:r>
    </w:p>
    <w:p w14:paraId="25813062" w14:textId="77777777" w:rsidR="003C0DE9" w:rsidRPr="008C18F5" w:rsidRDefault="003C0DE9">
      <w:pPr>
        <w:spacing w:before="57" w:after="57" w:line="240" w:lineRule="auto"/>
        <w:jc w:val="center"/>
        <w:rPr>
          <w:rFonts w:eastAsia="Arial Narrow" w:cs="Arial Narrow"/>
          <w:b/>
          <w:color w:val="000000"/>
        </w:rPr>
      </w:pPr>
    </w:p>
    <w:p w14:paraId="37418242" w14:textId="6169DA26" w:rsidR="002D055A" w:rsidRPr="008D3031" w:rsidRDefault="001C58A9" w:rsidP="002D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2D055A">
        <w:rPr>
          <w:b/>
          <w:bCs/>
          <w:sz w:val="24"/>
          <w:szCs w:val="24"/>
        </w:rPr>
        <w:t>. GERENCIAMENTO DOS RISCOS – MAPA DE RISCOS</w:t>
      </w:r>
    </w:p>
    <w:p w14:paraId="672EE3E2" w14:textId="77777777" w:rsidR="002D055A" w:rsidRDefault="002D055A" w:rsidP="002D055A">
      <w:pPr>
        <w:tabs>
          <w:tab w:val="left" w:pos="979"/>
        </w:tabs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55A" w:rsidRPr="00777D9D" w14:paraId="680D761A" w14:textId="77777777" w:rsidTr="00CE605A">
        <w:tc>
          <w:tcPr>
            <w:tcW w:w="9628" w:type="dxa"/>
            <w:shd w:val="clear" w:color="auto" w:fill="FFFF00"/>
          </w:tcPr>
          <w:p w14:paraId="0CE94100" w14:textId="1DD24532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sz w:val="16"/>
                <w:szCs w:val="16"/>
              </w:rPr>
              <w:t>Nota Orientativa:</w:t>
            </w:r>
            <w:r w:rsidR="005906C8">
              <w:rPr>
                <w:rFonts w:ascii="Arial" w:hAnsi="Arial" w:cs="Arial"/>
                <w:b/>
                <w:sz w:val="16"/>
                <w:szCs w:val="16"/>
              </w:rPr>
              <w:t xml:space="preserve"> (APAGAR AS NOTAS ORIENTATIVAS)</w:t>
            </w:r>
          </w:p>
          <w:p w14:paraId="6B6F660E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AB04BF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sz w:val="16"/>
                <w:szCs w:val="16"/>
              </w:rPr>
              <w:t>Previsão legal de elaboração do mapa de risco:</w:t>
            </w:r>
          </w:p>
          <w:p w14:paraId="5AE1EF5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8A7181F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Lei 14.133/2021</w:t>
            </w:r>
          </w:p>
          <w:p w14:paraId="2D55365A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Art. 18. A fase preparatória do processo licitatório é caracterizada pelo planejamento e deve compatibilizar-se com o plano de contratações anual de que trata o inciso VII do caput do art. 12 desta Lei, sempre que elaborado, e com as leis orçamentárias, bem como abordar todas as considerações técnicas, mercadológicas e de gestão que podem interferir na contratação, compreendidos:</w:t>
            </w:r>
          </w:p>
          <w:p w14:paraId="3912F369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(...)</w:t>
            </w:r>
          </w:p>
          <w:p w14:paraId="2710DF62" w14:textId="77777777" w:rsidR="002D055A" w:rsidRPr="00777D9D" w:rsidRDefault="002D055A" w:rsidP="00CE605A">
            <w:pPr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X - a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análise dos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que possam comprometer o sucesso da licitação e a boa execução contratual;</w:t>
            </w:r>
          </w:p>
          <w:p w14:paraId="4D567D14" w14:textId="77777777" w:rsidR="002D055A" w:rsidRPr="00777D9D" w:rsidRDefault="002D055A" w:rsidP="00CE60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09573D" w14:textId="77777777" w:rsidR="002D055A" w:rsidRPr="00777D9D" w:rsidRDefault="002D055A" w:rsidP="00CE605A">
            <w:pPr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Art. 22. O edital poderá contemplar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matriz de alocação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entre o contratante e o contratado, hipótese em que o cálculo do valor estimado da contratação poderá considerar taxa de risco compatível com o objeto da licitação e com os riscos atribuídos ao contratado, de acordo com metodologia predefinida pelo ente federativo.</w:t>
            </w:r>
          </w:p>
          <w:p w14:paraId="2364730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9D083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51F74F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18961CC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Decreto 10.086/22</w:t>
            </w:r>
          </w:p>
          <w:p w14:paraId="7E79AF9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Art. 2º</w:t>
            </w:r>
          </w:p>
          <w:p w14:paraId="1D531871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XLVII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Gerenciamento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processo para identificar, analisar, avaliar, tratar, registrar, monitorar e comunicar potenciais eventos ou situações, que visa dar razoável certeza quanto ao alcance dos objetivos da instituição e é composto pelas seguintes etapas:</w:t>
            </w:r>
          </w:p>
          <w:p w14:paraId="17DD6B0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identificação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processo de busca, reconhecimento e descrição de riscos, que envolve a identificação de suas fontes, causas e consequências potenciais, podendo envolver dados históricos, análises teóricas, opiniões de pessoas informadas e de especialistas, e as necessidades das partes interessadas;</w:t>
            </w:r>
          </w:p>
          <w:p w14:paraId="245F2244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análise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compreensão das causas e consequências imediatas, envolvendo a consideração detalhada de incertezas, fontes de risco, cenários, controles e sua eficácia;</w:t>
            </w:r>
          </w:p>
          <w:p w14:paraId="70B24BD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avaliação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processo que visa apoiar decisões sobre como responder a riscos e que envolve a comparação de resultados da análise de riscos com o apetite a risco da instituição;</w:t>
            </w:r>
          </w:p>
          <w:p w14:paraId="031364D9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tratamento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qualquer ação adotada para lidar com risco, podendo consistir em:</w:t>
            </w:r>
          </w:p>
          <w:p w14:paraId="1A109D1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1. evitar o risco pela decisão de não iniciar ou descontinuar qualquer atividade à qual o risco está relacionado;</w:t>
            </w:r>
          </w:p>
          <w:p w14:paraId="0A67676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2. mitigar o risco em sua probabilidade de ocorrência e/ou suas consequências;</w:t>
            </w:r>
          </w:p>
          <w:p w14:paraId="3BF6C86A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3. compartilhar o risco com outra parte; e</w:t>
            </w:r>
          </w:p>
          <w:p w14:paraId="057356D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4. aceitar o risco por uma escolha consciente e justificada;</w:t>
            </w:r>
          </w:p>
          <w:p w14:paraId="34D81349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e)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monitoramento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consiste nas atividades de controle, coleta e análise de informações, registro de resultados e relato que por meio das quais se mensura a aplicação das respostas aos riscos;</w:t>
            </w:r>
          </w:p>
          <w:p w14:paraId="6068976F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8654D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Art. 186. Será realizado o gerenciamento dos riscos envolvidos em todas as etapas do processo da contratação.</w:t>
            </w:r>
          </w:p>
          <w:p w14:paraId="67719BF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1º O gerenciamento dos riscos de que trata o caput tem por objetivos:</w:t>
            </w:r>
          </w:p>
          <w:p w14:paraId="0C782C3E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 - aumentar a probabilidade de atingimento dos objetivos estratégicos e operacionais pretendidos por intermédio da execução contratual;</w:t>
            </w:r>
          </w:p>
          <w:p w14:paraId="79460922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 - fomentar uma gestão proativa de todas as etapas do processo da contratação;</w:t>
            </w:r>
          </w:p>
          <w:p w14:paraId="0ED9498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III - atentar para a necessidade de se identificarem e tratarem todos os riscos que possam comprometer a qualidade dos processos de contratação;</w:t>
            </w:r>
          </w:p>
          <w:p w14:paraId="40E764CA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IV - facilitar a identificação de oportunidades e ameaças que possam comprometer as licitações e a execução dos contratos;</w:t>
            </w:r>
          </w:p>
          <w:p w14:paraId="0812669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 - prezar pela conformidade legal e normativa dos processos de contratação;</w:t>
            </w:r>
          </w:p>
          <w:p w14:paraId="44F5593C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VI - aprimorar os mecanismos de controle da contratação pública;</w:t>
            </w:r>
          </w:p>
          <w:p w14:paraId="136D321C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VII - estabelecer uma base confiável para a tomada de decisão e para o planejamento das contratações;</w:t>
            </w:r>
          </w:p>
          <w:p w14:paraId="5F281172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VIII - alocar e utilizar eficazmente os recursos para o tratamento de riscos a que estão sujeitas as licitações e as execuções contratuais;</w:t>
            </w:r>
          </w:p>
          <w:p w14:paraId="1F3221E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IX - aumentar a capacidade de planejamento eficaz e eficiente das contratações por intermédio do controle dos níveis de risco.</w:t>
            </w:r>
          </w:p>
          <w:p w14:paraId="614A5195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sz w:val="16"/>
                <w:szCs w:val="16"/>
              </w:rPr>
              <w:t>§ 2º O gerenciamento dos riscos poderá ser dispensado, mediante justificativa, nos casos envolvendo contratação de objetos de baixo valor ou baixa complexidade</w:t>
            </w:r>
            <w:r w:rsidRPr="00777D9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28BEB5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3º O nível de detalhamento e de aprofundamento do gerenciamento dos riscos será proporcional à complexidade, relevância e valor significativo do objeto da contratação.</w:t>
            </w:r>
          </w:p>
          <w:p w14:paraId="6529101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§ 4º O principal objetivo do gerenciamento dos riscos é avaliar as incertezas e prover opções de resposta que representem as </w:t>
            </w:r>
            <w:r w:rsidRPr="00777D9D">
              <w:rPr>
                <w:rFonts w:ascii="Arial" w:hAnsi="Arial" w:cs="Arial"/>
                <w:sz w:val="16"/>
                <w:szCs w:val="16"/>
              </w:rPr>
              <w:lastRenderedPageBreak/>
              <w:t>melhores decisões relacionadas com a excelência das licitações e das execuções contratuais.</w:t>
            </w:r>
          </w:p>
          <w:p w14:paraId="735A9F8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§ 5º Os riscos serão avaliados de acordo com a seguinte escala de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PROBABILIDADE</w:t>
            </w:r>
            <w:r w:rsidRPr="00777D9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6A6530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raro</w:t>
            </w:r>
            <w:r w:rsidRPr="00777D9D">
              <w:rPr>
                <w:rFonts w:ascii="Arial" w:hAnsi="Arial" w:cs="Arial"/>
                <w:sz w:val="16"/>
                <w:szCs w:val="16"/>
              </w:rPr>
              <w:t>: acontece apenas em situações excepcionais; não há histórico conhecido do evento ou não há indícios que sinalizem sua ocorrência;</w:t>
            </w:r>
          </w:p>
          <w:p w14:paraId="65CC5037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pouco provável</w:t>
            </w:r>
            <w:r w:rsidRPr="00777D9D">
              <w:rPr>
                <w:rFonts w:ascii="Arial" w:hAnsi="Arial" w:cs="Arial"/>
                <w:sz w:val="16"/>
                <w:szCs w:val="16"/>
              </w:rPr>
              <w:t>: o histórico conhecido aponta para baixa frequência de ocorrência no prazo associado ao objetivo;</w:t>
            </w:r>
          </w:p>
          <w:p w14:paraId="6A2E46F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provável</w:t>
            </w:r>
            <w:r w:rsidRPr="00777D9D">
              <w:rPr>
                <w:rFonts w:ascii="Arial" w:hAnsi="Arial" w:cs="Arial"/>
                <w:sz w:val="16"/>
                <w:szCs w:val="16"/>
              </w:rPr>
              <w:t>: repete-se com frequência razoável no prazo associado ao objetivo ou há indícios que possa ocorrer nesse horizonte;</w:t>
            </w:r>
          </w:p>
          <w:p w14:paraId="0C663F2A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IV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muito provável</w:t>
            </w:r>
            <w:r w:rsidRPr="00777D9D">
              <w:rPr>
                <w:rFonts w:ascii="Arial" w:hAnsi="Arial" w:cs="Arial"/>
                <w:sz w:val="16"/>
                <w:szCs w:val="16"/>
              </w:rPr>
              <w:t>: repete-se com elevada frequência no prazo associado ao objetivo ou há muitos indícios que ocorrerá nesse horizonte;</w:t>
            </w:r>
          </w:p>
          <w:p w14:paraId="4991ED46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V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praticamente certo</w:t>
            </w:r>
            <w:r w:rsidRPr="00777D9D">
              <w:rPr>
                <w:rFonts w:ascii="Arial" w:hAnsi="Arial" w:cs="Arial"/>
                <w:sz w:val="16"/>
                <w:szCs w:val="16"/>
              </w:rPr>
              <w:t>: ocorrência quase garantida no prazo associado ao objetivo.</w:t>
            </w:r>
          </w:p>
          <w:p w14:paraId="7E48670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§ 6º Os riscos serão avaliados de acordo com a seguinte escala de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IMPACTO</w:t>
            </w:r>
            <w:r w:rsidRPr="00777D9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AA648A5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muito baixo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minimamente o atingimento do objetivo; para fins práticos, não altera o alcance do objetivo/resultado;</w:t>
            </w:r>
          </w:p>
          <w:p w14:paraId="183DC39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baixo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em alguma medida o alcance do objetivo, mas não impede o alcance da maior parte do objetivo/resultado;</w:t>
            </w:r>
          </w:p>
          <w:p w14:paraId="1484ABE2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médio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razoavelmente o alcance do objetivo/resultado;</w:t>
            </w:r>
          </w:p>
          <w:p w14:paraId="40C2A989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IV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alto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a maior parte do atingimento do objetivo/resultado;</w:t>
            </w:r>
          </w:p>
          <w:p w14:paraId="06EEBB99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V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muito alto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totalmente ou quase totalmente o atingimento do objetivo/resultado.</w:t>
            </w:r>
          </w:p>
          <w:p w14:paraId="0F9F935C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7E4DB6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7º Após a avaliação, o tratamento dos riscos deve contemplar as seguintes providências:</w:t>
            </w:r>
          </w:p>
          <w:p w14:paraId="21C2EED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 - identificar as causas e consequências dos riscos priorizados;</w:t>
            </w:r>
          </w:p>
          <w:p w14:paraId="4E518CE4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 - levantadas as causas e consequências, registrar as possíveis medidas de resposta ao risco;</w:t>
            </w:r>
          </w:p>
          <w:p w14:paraId="2996D80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III - avaliar a viabilidade da implantação dessas medidas (custo-benefício, viabilidade técnica, tempestividade, efeitos colaterais do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 xml:space="preserve">tratamento </w:t>
            </w:r>
            <w:proofErr w:type="spellStart"/>
            <w:r w:rsidRPr="00777D9D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>);</w:t>
            </w:r>
          </w:p>
          <w:p w14:paraId="1AEB40AB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IV - decidir quais medidas de resposta ao risco serão implementadas;</w:t>
            </w:r>
          </w:p>
          <w:p w14:paraId="4E1CA0B5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 - elaborar plano de implementação das medidas eleitas para resposta aos riscos identificados e avaliados.</w:t>
            </w:r>
          </w:p>
          <w:p w14:paraId="3B4E2F9F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185C7DE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§ 8º O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gerenciamento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materializa-se no documento denominado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Mapa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, que será </w:t>
            </w:r>
            <w:r w:rsidRPr="00777D9D">
              <w:rPr>
                <w:rFonts w:ascii="Arial" w:hAnsi="Arial" w:cs="Arial"/>
                <w:sz w:val="16"/>
                <w:szCs w:val="16"/>
                <w:u w:val="single"/>
              </w:rPr>
              <w:t>elaborado de acordo com a probabilidade e com o impacto de cada risco identificado,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por evento significativo, e deve ser atualizado e juntado aos autos do processo de contratação, pelo menos:</w:t>
            </w:r>
          </w:p>
          <w:p w14:paraId="4451791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 - </w:t>
            </w:r>
            <w:r w:rsidRPr="00777D9D">
              <w:rPr>
                <w:rFonts w:ascii="Arial" w:hAnsi="Arial" w:cs="Arial"/>
                <w:b/>
                <w:sz w:val="16"/>
                <w:szCs w:val="16"/>
                <w:u w:val="single"/>
              </w:rPr>
              <w:t>ao final da elaboração do estudo técnico preliminar</w:t>
            </w:r>
            <w:r w:rsidRPr="00777D9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49E973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 - ao final da elaboração do projeto de que trata o inciso LXXXVIII do art. 2º deste Regulamento;</w:t>
            </w:r>
          </w:p>
          <w:p w14:paraId="531AB247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III - após a fase de seleção do fornecedor; e</w:t>
            </w:r>
          </w:p>
          <w:p w14:paraId="42361D3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IV - após eventos relevantes, durante a gestão do contrato pelos servidores responsáveis pela fiscalização.</w:t>
            </w:r>
          </w:p>
          <w:p w14:paraId="310BB58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Art. 187. </w:t>
            </w:r>
            <w:r w:rsidRPr="00777D9D">
              <w:rPr>
                <w:rFonts w:ascii="Arial" w:hAnsi="Arial" w:cs="Arial"/>
                <w:b/>
                <w:sz w:val="16"/>
                <w:szCs w:val="16"/>
                <w:u w:val="single"/>
              </w:rPr>
              <w:t>A responsabilidade pelo gerenciamento de riscos compete aos agentes públicos responsáveis pelo planejamento da contratação</w:t>
            </w:r>
            <w:r w:rsidRPr="00777D9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93EC645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8490594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467E7AA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Referências adicionais:</w:t>
            </w:r>
          </w:p>
          <w:p w14:paraId="312F49F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Cs/>
                <w:sz w:val="16"/>
                <w:szCs w:val="16"/>
              </w:rPr>
              <w:t>Lei 14.133/2021</w:t>
            </w:r>
          </w:p>
          <w:p w14:paraId="7E36319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Cs/>
                <w:sz w:val="16"/>
                <w:szCs w:val="16"/>
              </w:rPr>
              <w:t>Decreto 10.086/2022</w:t>
            </w:r>
          </w:p>
          <w:p w14:paraId="0019876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IN nº 05/2017/SEGES/MPGD</w:t>
            </w:r>
          </w:p>
          <w:p w14:paraId="6E6B9B7B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RISCOS E CONTROLES NAS AQUISIÇÕES (RCA) – TCU  </w:t>
            </w:r>
            <w:hyperlink r:id="rId11" w:history="1">
              <w:r w:rsidRPr="00777D9D">
                <w:rPr>
                  <w:rStyle w:val="Hyperlink"/>
                  <w:rFonts w:cs="Arial"/>
                  <w:sz w:val="16"/>
                  <w:szCs w:val="16"/>
                </w:rPr>
                <w:t>https://portal.tcu.gov.br/biblioteca-digital/riscos-e-controles-nas-aquisicoes-rca.htm</w:t>
              </w:r>
            </w:hyperlink>
            <w:r w:rsidRPr="00777D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38B892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color w:val="0000FF" w:themeColor="hyperlink"/>
                <w:sz w:val="16"/>
                <w:szCs w:val="16"/>
                <w:u w:val="single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Acórdão 1321/2014 – Plenário  </w:t>
            </w:r>
            <w:hyperlink r:id="rId12" w:anchor="/documento/acordao-completo/*/NUMACORDAO:1321%20ANOACORDAO:2014%20COLEGIADO:'Plen%C3%A1rio'/DTRELEVANCIA%20desc,%20NUMACORDAOINT%20desc/0" w:history="1">
              <w:r w:rsidRPr="00777D9D">
                <w:rPr>
                  <w:rStyle w:val="Hyperlink"/>
                  <w:rFonts w:cs="Arial"/>
                  <w:sz w:val="16"/>
                  <w:szCs w:val="16"/>
                </w:rPr>
                <w:t>https://pesquisa.apps.tcu.gov.br/#/documento/acordao-completo/*/NUMACORDAO:1321%20ANOACORDAO:2014%20COLEGIADO:'Plen%C3%A1rio'/DTRELEVANCIA%20desc,%20NUMACORDAOINT%20desc/0</w:t>
              </w:r>
            </w:hyperlink>
          </w:p>
        </w:tc>
      </w:tr>
    </w:tbl>
    <w:p w14:paraId="6778C512" w14:textId="77777777" w:rsidR="002D055A" w:rsidRDefault="002D055A" w:rsidP="002D055A">
      <w:pPr>
        <w:tabs>
          <w:tab w:val="left" w:pos="979"/>
        </w:tabs>
        <w:rPr>
          <w:sz w:val="20"/>
          <w:szCs w:val="20"/>
        </w:rPr>
      </w:pPr>
    </w:p>
    <w:p w14:paraId="222B9422" w14:textId="0345820A" w:rsidR="002D055A" w:rsidRDefault="00303247" w:rsidP="002D055A">
      <w:pPr>
        <w:shd w:val="clear" w:color="auto" w:fill="002060"/>
        <w:tabs>
          <w:tab w:val="left" w:pos="9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2D055A">
        <w:rPr>
          <w:b/>
          <w:sz w:val="20"/>
          <w:szCs w:val="20"/>
        </w:rPr>
        <w:t xml:space="preserve">.1 </w:t>
      </w:r>
      <w:r w:rsidR="002D055A" w:rsidRPr="00C47293">
        <w:rPr>
          <w:b/>
          <w:sz w:val="20"/>
          <w:szCs w:val="20"/>
        </w:rPr>
        <w:t xml:space="preserve">Quanto a Elaboração do </w:t>
      </w:r>
      <w:r w:rsidR="002D055A">
        <w:rPr>
          <w:b/>
          <w:sz w:val="20"/>
          <w:szCs w:val="20"/>
        </w:rPr>
        <w:t>Gerenciamento dos Riscos</w:t>
      </w:r>
      <w:r w:rsidR="002D055A" w:rsidRPr="00C47293">
        <w:rPr>
          <w:b/>
          <w:sz w:val="20"/>
          <w:szCs w:val="20"/>
        </w:rPr>
        <w:t xml:space="preserve"> para a presente Contratação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55A" w:rsidRPr="00C47293" w14:paraId="2B57869D" w14:textId="77777777" w:rsidTr="00CE605A">
        <w:tc>
          <w:tcPr>
            <w:tcW w:w="9628" w:type="dxa"/>
            <w:shd w:val="clear" w:color="auto" w:fill="FFFF00"/>
          </w:tcPr>
          <w:p w14:paraId="7CDEB1B1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53CF3C" w14:textId="77777777" w:rsidR="002D055A" w:rsidRPr="00C47293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293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5841F50E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5630621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Com base no </w:t>
            </w:r>
            <w:r w:rsidRPr="00DE3D03">
              <w:rPr>
                <w:rFonts w:ascii="Arial" w:hAnsi="Arial" w:cs="Arial"/>
                <w:color w:val="FF0000"/>
                <w:sz w:val="18"/>
                <w:szCs w:val="18"/>
              </w:rPr>
              <w:t xml:space="preserve">§ 2º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do art. 186 do Decreto 10.086/2022 “</w:t>
            </w:r>
            <w:r w:rsidRPr="00DE3D03">
              <w:rPr>
                <w:rFonts w:ascii="Arial" w:hAnsi="Arial" w:cs="Arial"/>
                <w:i/>
                <w:color w:val="FF0000"/>
                <w:sz w:val="18"/>
                <w:szCs w:val="18"/>
              </w:rPr>
              <w:t>O gerenciamento dos riscos poderá ser dispensado, mediante justificativa, nos casos envolvendo contratação de objetos de baixo valor ou baixa complexidade”.</w:t>
            </w:r>
          </w:p>
          <w:p w14:paraId="72EF1D57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A458E76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Deste modo, s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 xml:space="preserve">e tratando de bens/serviços comuns, a unidade demandante poderá dispensar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 gerenciamento 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os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 xml:space="preserve"> risco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>. Contudo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a elaboração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 xml:space="preserve"> é recomendad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>, mesmo se tratando de bens/serviços comuns.</w:t>
            </w:r>
          </w:p>
          <w:p w14:paraId="39772873" w14:textId="77777777" w:rsidR="002D055A" w:rsidRPr="00C47293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6DF77E" w14:textId="77777777" w:rsidR="002D055A" w:rsidRPr="00831ACD" w:rsidRDefault="002D055A" w:rsidP="002D055A">
      <w:pPr>
        <w:rPr>
          <w:b/>
          <w:sz w:val="20"/>
          <w:szCs w:val="20"/>
        </w:rPr>
      </w:pPr>
      <w:proofErr w:type="gramStart"/>
      <w:r w:rsidRPr="00831ACD">
        <w:rPr>
          <w:b/>
          <w:sz w:val="20"/>
          <w:szCs w:val="20"/>
        </w:rPr>
        <w:t xml:space="preserve">(  </w:t>
      </w:r>
      <w:proofErr w:type="gramEnd"/>
      <w:r w:rsidRPr="00831ACD">
        <w:rPr>
          <w:b/>
          <w:sz w:val="20"/>
          <w:szCs w:val="20"/>
        </w:rPr>
        <w:t xml:space="preserve"> ) Será </w:t>
      </w:r>
      <w:r w:rsidRPr="00F51D2F">
        <w:rPr>
          <w:b/>
          <w:sz w:val="20"/>
          <w:szCs w:val="20"/>
        </w:rPr>
        <w:t xml:space="preserve">realizado o Gerenciamento dos Riscos </w:t>
      </w:r>
      <w:r w:rsidRPr="00F51D2F">
        <w:rPr>
          <w:sz w:val="20"/>
          <w:szCs w:val="20"/>
        </w:rPr>
        <w:t>(Conforme anexo 1)</w:t>
      </w:r>
    </w:p>
    <w:p w14:paraId="7EBC916F" w14:textId="77777777" w:rsidR="002D055A" w:rsidRPr="00831ACD" w:rsidRDefault="002D055A" w:rsidP="002D055A">
      <w:pPr>
        <w:rPr>
          <w:b/>
          <w:sz w:val="20"/>
          <w:szCs w:val="20"/>
        </w:rPr>
      </w:pPr>
      <w:proofErr w:type="gramStart"/>
      <w:r w:rsidRPr="00831ACD">
        <w:rPr>
          <w:b/>
          <w:sz w:val="20"/>
          <w:szCs w:val="20"/>
        </w:rPr>
        <w:t xml:space="preserve">(  </w:t>
      </w:r>
      <w:proofErr w:type="gramEnd"/>
      <w:r w:rsidRPr="00831ACD">
        <w:rPr>
          <w:b/>
          <w:sz w:val="20"/>
          <w:szCs w:val="20"/>
        </w:rPr>
        <w:t xml:space="preserve"> ) Não será </w:t>
      </w:r>
      <w:r>
        <w:rPr>
          <w:b/>
          <w:sz w:val="20"/>
          <w:szCs w:val="20"/>
        </w:rPr>
        <w:t>realizado o</w:t>
      </w:r>
      <w:r w:rsidRPr="00F51D2F">
        <w:rPr>
          <w:b/>
          <w:sz w:val="20"/>
          <w:szCs w:val="20"/>
        </w:rPr>
        <w:t xml:space="preserve"> Gerenciamento dos Riscos</w:t>
      </w:r>
    </w:p>
    <w:p w14:paraId="2324487C" w14:textId="77777777" w:rsidR="002D055A" w:rsidRDefault="002D055A" w:rsidP="002D055A">
      <w:pPr>
        <w:rPr>
          <w:sz w:val="20"/>
          <w:szCs w:val="20"/>
        </w:rPr>
      </w:pPr>
    </w:p>
    <w:p w14:paraId="41FD8BF2" w14:textId="77777777" w:rsidR="002D055A" w:rsidRPr="00831ACD" w:rsidRDefault="002D055A" w:rsidP="002D055A">
      <w:pPr>
        <w:rPr>
          <w:color w:val="FF0000"/>
          <w:sz w:val="20"/>
          <w:szCs w:val="20"/>
        </w:rPr>
      </w:pPr>
      <w:r w:rsidRPr="00C47293">
        <w:rPr>
          <w:b/>
          <w:sz w:val="20"/>
          <w:szCs w:val="20"/>
        </w:rPr>
        <w:t>Justificativa</w:t>
      </w:r>
      <w:r>
        <w:rPr>
          <w:b/>
          <w:sz w:val="20"/>
          <w:szCs w:val="20"/>
        </w:rPr>
        <w:t xml:space="preserve"> em caso de não realização do Gerenciamento dos Riscos</w:t>
      </w:r>
      <w:r>
        <w:rPr>
          <w:sz w:val="20"/>
          <w:szCs w:val="20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55A" w:rsidRPr="00F51D2F" w14:paraId="0007D172" w14:textId="77777777" w:rsidTr="00CE605A">
        <w:tc>
          <w:tcPr>
            <w:tcW w:w="9628" w:type="dxa"/>
            <w:shd w:val="clear" w:color="auto" w:fill="FFFF00"/>
          </w:tcPr>
          <w:p w14:paraId="36EEA705" w14:textId="77777777" w:rsidR="002D055A" w:rsidRPr="00F51D2F" w:rsidRDefault="002D055A" w:rsidP="00CE605A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1D2F">
              <w:rPr>
                <w:rFonts w:ascii="Arial" w:hAnsi="Arial" w:cs="Arial"/>
                <w:color w:val="FF0000"/>
                <w:sz w:val="16"/>
                <w:szCs w:val="16"/>
              </w:rPr>
              <w:t>Exemplo de resposta em caso de dispensa do Gerenciamento dos Riscos</w:t>
            </w:r>
          </w:p>
          <w:p w14:paraId="7C8A3810" w14:textId="77777777" w:rsidR="002D055A" w:rsidRPr="00F51D2F" w:rsidRDefault="002D055A" w:rsidP="00CE60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95C86E" w14:textId="77777777" w:rsidR="002D055A" w:rsidRPr="00F51D2F" w:rsidRDefault="002D055A" w:rsidP="00CE605A">
            <w:pPr>
              <w:ind w:firstLine="7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1D2F">
              <w:rPr>
                <w:rFonts w:ascii="Arial" w:hAnsi="Arial" w:cs="Arial"/>
                <w:sz w:val="16"/>
                <w:szCs w:val="16"/>
              </w:rPr>
              <w:t>O gerenciamento de risco trata-se de um “processo para identificar, analisar, avaliar, tratar, registrar, monitorar e comunicar potenciais eventos ou situações, que visa dar razoável certeza quanto ao alcance dos objetivos da instituição” (art. 2º, XLVII, decreto 10.086/2022).</w:t>
            </w:r>
          </w:p>
          <w:p w14:paraId="5636FF4C" w14:textId="77777777" w:rsidR="002D055A" w:rsidRPr="00F51D2F" w:rsidRDefault="002D055A" w:rsidP="00CE605A">
            <w:pPr>
              <w:ind w:firstLine="7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1D2F">
              <w:rPr>
                <w:rFonts w:ascii="Arial" w:hAnsi="Arial" w:cs="Arial"/>
                <w:sz w:val="16"/>
                <w:szCs w:val="16"/>
              </w:rPr>
              <w:t>O Decreto 10.086/2022, art. 186, § 2º, prevê que “o gerenciamento dos riscos poderá ser dispensado, mediante justificativa, nos casos envolvendo contratação de objetos de baixo valor ou baixa complexidade”.</w:t>
            </w:r>
          </w:p>
          <w:p w14:paraId="16ECF090" w14:textId="77777777" w:rsidR="002D055A" w:rsidRDefault="002D055A" w:rsidP="00CE605A">
            <w:pPr>
              <w:ind w:firstLine="7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1D2F">
              <w:rPr>
                <w:rFonts w:ascii="Arial" w:hAnsi="Arial" w:cs="Arial"/>
                <w:sz w:val="16"/>
                <w:szCs w:val="16"/>
              </w:rPr>
              <w:t xml:space="preserve">Diante do exposto, será dispensado o gerenciamento dos riscos da presente contratação tendo em vista as características do objeto a ser adquirido, conforme detalhado no tópico 2.2.  </w:t>
            </w:r>
          </w:p>
          <w:p w14:paraId="1AD571A6" w14:textId="77777777" w:rsidR="002D055A" w:rsidRDefault="002D055A" w:rsidP="00CE60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59CAA" w14:textId="77777777" w:rsidR="002D055A" w:rsidRPr="00F51D2F" w:rsidRDefault="002D055A" w:rsidP="00CE60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1D2F">
              <w:rPr>
                <w:rFonts w:ascii="Arial" w:hAnsi="Arial" w:cs="Arial"/>
                <w:color w:val="FF0000"/>
                <w:sz w:val="16"/>
                <w:szCs w:val="16"/>
              </w:rPr>
              <w:t xml:space="preserve">Em caso de elaboração do Gerenciamento dos Riscos, citar </w:t>
            </w:r>
            <w:r>
              <w:rPr>
                <w:rFonts w:ascii="Arial" w:hAnsi="Arial" w:cs="Arial"/>
                <w:sz w:val="16"/>
                <w:szCs w:val="16"/>
              </w:rPr>
              <w:t>“Não Se Aplica”</w:t>
            </w:r>
          </w:p>
        </w:tc>
      </w:tr>
    </w:tbl>
    <w:p w14:paraId="46FAB1EB" w14:textId="77777777" w:rsidR="002D055A" w:rsidRPr="00F51D2F" w:rsidRDefault="002D055A" w:rsidP="002D055A">
      <w:pPr>
        <w:spacing w:line="240" w:lineRule="auto"/>
        <w:jc w:val="both"/>
        <w:rPr>
          <w:sz w:val="20"/>
          <w:szCs w:val="20"/>
        </w:rPr>
      </w:pPr>
    </w:p>
    <w:p w14:paraId="7D7ED251" w14:textId="6BB498B5" w:rsidR="002D055A" w:rsidRPr="00C47293" w:rsidRDefault="00303247" w:rsidP="002D055A">
      <w:pPr>
        <w:shd w:val="clear" w:color="auto" w:fill="00206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2D055A" w:rsidRPr="00C47293">
        <w:rPr>
          <w:b/>
          <w:sz w:val="20"/>
          <w:szCs w:val="20"/>
        </w:rPr>
        <w:t>.</w:t>
      </w:r>
      <w:r w:rsidR="002D055A">
        <w:rPr>
          <w:b/>
          <w:sz w:val="20"/>
          <w:szCs w:val="20"/>
        </w:rPr>
        <w:t xml:space="preserve">2 </w:t>
      </w:r>
      <w:r w:rsidR="002D055A" w:rsidRPr="00C47293">
        <w:rPr>
          <w:b/>
          <w:sz w:val="20"/>
          <w:szCs w:val="20"/>
        </w:rPr>
        <w:t>Quanto à Classificação do Objeto como Bens ou Serviços Comuns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55A" w:rsidRPr="00C47293" w14:paraId="43D7F9ED" w14:textId="77777777" w:rsidTr="00CE605A">
        <w:tc>
          <w:tcPr>
            <w:tcW w:w="9628" w:type="dxa"/>
            <w:shd w:val="clear" w:color="auto" w:fill="FFFF00"/>
          </w:tcPr>
          <w:p w14:paraId="07743B76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119D3D2" w14:textId="77777777" w:rsidR="002D055A" w:rsidRPr="00C47293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293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26DFCA60" w14:textId="77777777" w:rsidR="002D055A" w:rsidRDefault="002D055A" w:rsidP="00CE605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263895B" w14:textId="252FDB8F" w:rsidR="002D055A" w:rsidRDefault="002D055A" w:rsidP="00CE60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processos licitatórios realizados pela CPL/UNIOESTE, em regra e usualmente, são executados por meio de Pregão Eletrônico.</w:t>
            </w:r>
          </w:p>
          <w:p w14:paraId="6F996902" w14:textId="77777777" w:rsidR="002D055A" w:rsidRDefault="002D055A" w:rsidP="00CE60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Pr="00ED204B">
              <w:rPr>
                <w:b/>
                <w:bCs/>
                <w:sz w:val="18"/>
                <w:szCs w:val="18"/>
              </w:rPr>
              <w:t>Pregão</w:t>
            </w:r>
            <w:r w:rsidRPr="00DF3476">
              <w:rPr>
                <w:sz w:val="18"/>
                <w:szCs w:val="18"/>
              </w:rPr>
              <w:t xml:space="preserve"> é a modalidade de licitação para </w:t>
            </w:r>
            <w:r w:rsidRPr="00DF3476">
              <w:rPr>
                <w:sz w:val="18"/>
                <w:szCs w:val="18"/>
                <w:u w:val="single"/>
              </w:rPr>
              <w:t>aquisição de bens e serviços comuns</w:t>
            </w:r>
            <w:r>
              <w:rPr>
                <w:sz w:val="18"/>
                <w:szCs w:val="18"/>
                <w:u w:val="single"/>
              </w:rPr>
              <w:t xml:space="preserve"> (ou seja, de baixa complexidade)</w:t>
            </w:r>
            <w:r w:rsidRPr="00DF3476">
              <w:rPr>
                <w:sz w:val="18"/>
                <w:szCs w:val="18"/>
              </w:rPr>
              <w:t>, qualquer que seja o valor estimado da contratação, em que a disputa é feita por meio de propostas escritas e lances verbais, em uma única sessão pública, ou por meio da utilização de recursos de tecnologia da informação.</w:t>
            </w:r>
          </w:p>
          <w:p w14:paraId="6B5E62CB" w14:textId="77777777" w:rsidR="002D055A" w:rsidRDefault="002D055A" w:rsidP="00CE605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F00E355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C47293">
              <w:rPr>
                <w:color w:val="FF0000"/>
                <w:sz w:val="18"/>
                <w:szCs w:val="18"/>
              </w:rPr>
              <w:t xml:space="preserve">Portanto, a unidade demandante deve se certificar de que o objeto a ser licitado se enquadra na categoria de bens e serviços comuns, </w:t>
            </w:r>
            <w:r>
              <w:rPr>
                <w:color w:val="FF0000"/>
                <w:sz w:val="18"/>
                <w:szCs w:val="18"/>
              </w:rPr>
              <w:t xml:space="preserve">e que seja de baixa complexidade, </w:t>
            </w:r>
            <w:r w:rsidRPr="00C47293">
              <w:rPr>
                <w:color w:val="FF0000"/>
                <w:sz w:val="18"/>
                <w:szCs w:val="18"/>
              </w:rPr>
              <w:t>devendo discorrer sobre essa análise neste tópico, e elaborar justificativa para enquadrá-lo como tal</w:t>
            </w:r>
            <w:r>
              <w:rPr>
                <w:color w:val="FF0000"/>
                <w:sz w:val="18"/>
                <w:szCs w:val="18"/>
              </w:rPr>
              <w:t xml:space="preserve"> e para dispensar o gerenciamento dos riscos</w:t>
            </w:r>
            <w:r w:rsidRPr="00C47293">
              <w:rPr>
                <w:color w:val="FF0000"/>
                <w:sz w:val="18"/>
                <w:szCs w:val="18"/>
              </w:rPr>
              <w:t>.</w:t>
            </w:r>
          </w:p>
          <w:p w14:paraId="001E08C7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1B43660E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C47293">
              <w:rPr>
                <w:color w:val="FF0000"/>
                <w:sz w:val="18"/>
                <w:szCs w:val="18"/>
              </w:rPr>
              <w:t>Elaborar uma justificativa fundamentada explicando o enquadramento do bem/produto como “bem comum</w:t>
            </w:r>
            <w:proofErr w:type="gramStart"/>
            <w:r w:rsidRPr="00C47293">
              <w:rPr>
                <w:color w:val="FF0000"/>
                <w:sz w:val="18"/>
                <w:szCs w:val="18"/>
              </w:rPr>
              <w:t>”..</w:t>
            </w:r>
            <w:proofErr w:type="gramEnd"/>
            <w:r w:rsidRPr="00C47293">
              <w:rPr>
                <w:color w:val="FF0000"/>
                <w:sz w:val="18"/>
                <w:szCs w:val="18"/>
              </w:rPr>
              <w:t xml:space="preserve"> usualidade de mercado, características do produto, facilidade de descrição das especificações técnicas no edital, </w:t>
            </w:r>
            <w:proofErr w:type="gramStart"/>
            <w:r w:rsidRPr="00C47293">
              <w:rPr>
                <w:color w:val="FF0000"/>
                <w:sz w:val="18"/>
                <w:szCs w:val="18"/>
              </w:rPr>
              <w:t>etc..</w:t>
            </w:r>
            <w:proofErr w:type="gramEnd"/>
          </w:p>
          <w:p w14:paraId="03AEDD90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6676A132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7012EABB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F51D2F">
              <w:rPr>
                <w:color w:val="FF0000"/>
                <w:sz w:val="18"/>
                <w:szCs w:val="18"/>
              </w:rPr>
              <w:t xml:space="preserve">Exemplo de resposta em caso de </w:t>
            </w:r>
            <w:r w:rsidRPr="00F51D2F">
              <w:rPr>
                <w:b/>
                <w:color w:val="FF0000"/>
                <w:sz w:val="18"/>
                <w:szCs w:val="18"/>
              </w:rPr>
              <w:t>não</w:t>
            </w:r>
            <w:r w:rsidRPr="00F51D2F">
              <w:rPr>
                <w:color w:val="FF0000"/>
                <w:sz w:val="18"/>
                <w:szCs w:val="18"/>
              </w:rPr>
              <w:t xml:space="preserve"> elaboração do Gerenciamento de Riscos:</w:t>
            </w:r>
          </w:p>
          <w:p w14:paraId="20C3F388" w14:textId="77777777" w:rsidR="002D055A" w:rsidRPr="00F51D2F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18627BF4" w14:textId="77777777" w:rsidR="002D055A" w:rsidRPr="00F51D2F" w:rsidRDefault="002D055A" w:rsidP="00CE605A">
            <w:pPr>
              <w:pStyle w:val="Default"/>
              <w:ind w:firstLine="599"/>
              <w:jc w:val="both"/>
              <w:rPr>
                <w:color w:val="auto"/>
                <w:sz w:val="18"/>
                <w:szCs w:val="18"/>
              </w:rPr>
            </w:pPr>
            <w:r w:rsidRPr="00F51D2F">
              <w:rPr>
                <w:color w:val="auto"/>
                <w:sz w:val="18"/>
                <w:szCs w:val="18"/>
              </w:rPr>
              <w:t>Observa-se que o(s) objeto(s) dessa licitação é(são) classificado(s) como bem(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ns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comum(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ns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), pois possui(em) especificação(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ões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usual(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is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de mercado e padrão(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ões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de qualidade definidas em edital, conforme estabelece o inciso XIII do art. 6º da Lei Federal n.º 14.133, de 2021, e pelo que estão aptos a satisfazer necessidades comuns, não precisando conter características peculiares para atingir seus fins. Os atributos essenciais do objeto, possuem forma objetiva e uniforme, cujas características tendem a padronização e invariáveis ou então, sujeitas a diferenças mínimas.</w:t>
            </w:r>
          </w:p>
          <w:p w14:paraId="153A076D" w14:textId="77777777" w:rsidR="002D055A" w:rsidRDefault="002D055A" w:rsidP="00CE605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51D2F">
              <w:rPr>
                <w:color w:val="auto"/>
                <w:sz w:val="18"/>
                <w:szCs w:val="18"/>
              </w:rPr>
              <w:tab/>
              <w:t>Deste modo, justifica-se a dispensa do gerenciamento de risco para o presente processo, devido ao objeto ser de baixa complexidade / bens comuns, e devido a entrega estar prevista em parcela única e imediata após a formalização da contratação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14:paraId="6E3B9485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7EBDADCB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Exemplo de resposta em caso de Elaboração do Gerenciamento de Riscos mesmo se tratando de bens e serviços comuns:</w:t>
            </w:r>
          </w:p>
          <w:p w14:paraId="4DC15223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0C78D944" w14:textId="77777777" w:rsidR="002D055A" w:rsidRPr="00F51D2F" w:rsidRDefault="002D055A" w:rsidP="00CE605A">
            <w:pPr>
              <w:pStyle w:val="Default"/>
              <w:ind w:firstLine="741"/>
              <w:jc w:val="both"/>
              <w:rPr>
                <w:color w:val="auto"/>
                <w:sz w:val="18"/>
                <w:szCs w:val="18"/>
              </w:rPr>
            </w:pPr>
            <w:r w:rsidRPr="00F51D2F">
              <w:rPr>
                <w:color w:val="auto"/>
                <w:sz w:val="18"/>
                <w:szCs w:val="18"/>
              </w:rPr>
              <w:t>Observa-se que o(s) objeto(s) dessa licitação é(são) classificado(s) como bem(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ns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comum(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ns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), pois possui(em) especificação(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ões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usual(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is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de mercado e padrão(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ões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de qualidade definidas em edital, conforme estabelece o inciso XIII do art. 6º da Lei Federal n.º 14.133, de 2021, e pelo que estão aptos a satisfazer necessidades comuns, não precisando conter características peculiares para atingir seus fins. Os atributos essenciais do objeto, possuem forma objetiva e uniforme, cujas características tendem a padronização e invariáveis ou então, sujeitas a diferenças mínimas.</w:t>
            </w:r>
          </w:p>
          <w:p w14:paraId="1333C34C" w14:textId="77777777" w:rsidR="002D055A" w:rsidRPr="00F51D2F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F51D2F">
              <w:rPr>
                <w:color w:val="auto"/>
                <w:sz w:val="18"/>
                <w:szCs w:val="18"/>
              </w:rPr>
              <w:tab/>
              <w:t>Apesar de o objeto da presente contratação ser de baixa complexidade, optou-se por realizar o gerenciamento dos riscos envolvidos na contratação, conforme detalha-se Anexo 1 deste documento.</w:t>
            </w:r>
          </w:p>
        </w:tc>
      </w:tr>
    </w:tbl>
    <w:p w14:paraId="5658A3B9" w14:textId="77777777" w:rsidR="006E185D" w:rsidRDefault="006E185D" w:rsidP="0091466F">
      <w:pPr>
        <w:spacing w:before="57" w:after="57" w:line="240" w:lineRule="auto"/>
        <w:ind w:left="284"/>
        <w:jc w:val="both"/>
        <w:rPr>
          <w:rFonts w:eastAsia="Arial Narrow" w:cs="Arial Narrow"/>
          <w:color w:val="000000"/>
          <w:sz w:val="19"/>
          <w:szCs w:val="19"/>
        </w:rPr>
      </w:pPr>
    </w:p>
    <w:p w14:paraId="4A4DE85A" w14:textId="77777777" w:rsidR="008F2E85" w:rsidRDefault="008F2E85" w:rsidP="0091466F">
      <w:pPr>
        <w:spacing w:before="57" w:after="57" w:line="240" w:lineRule="auto"/>
        <w:ind w:left="284"/>
        <w:jc w:val="both"/>
        <w:rPr>
          <w:rFonts w:eastAsia="Arial Narrow" w:cs="Arial Narrow"/>
          <w:color w:val="000000"/>
          <w:sz w:val="19"/>
          <w:szCs w:val="19"/>
        </w:rPr>
        <w:sectPr w:rsidR="008F2E85">
          <w:headerReference w:type="default" r:id="rId13"/>
          <w:footerReference w:type="default" r:id="rId14"/>
          <w:type w:val="continuous"/>
          <w:pgSz w:w="11906" w:h="16838"/>
          <w:pgMar w:top="1800" w:right="1134" w:bottom="1058" w:left="1134" w:header="435" w:footer="414" w:gutter="0"/>
          <w:cols w:space="720"/>
          <w:formProt w:val="0"/>
          <w:docGrid w:linePitch="100" w:charSpace="4096"/>
        </w:sectPr>
      </w:pPr>
    </w:p>
    <w:p w14:paraId="47B5C10A" w14:textId="77777777" w:rsidR="008C6AD9" w:rsidRDefault="008C6AD9" w:rsidP="008C6AD9">
      <w:pPr>
        <w:tabs>
          <w:tab w:val="left" w:pos="97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1</w:t>
      </w:r>
    </w:p>
    <w:p w14:paraId="30B063FF" w14:textId="77777777" w:rsidR="001A5FF3" w:rsidRPr="002135FD" w:rsidRDefault="001A5FF3" w:rsidP="001A5FF3">
      <w:pPr>
        <w:tabs>
          <w:tab w:val="left" w:pos="979"/>
        </w:tabs>
        <w:jc w:val="center"/>
        <w:rPr>
          <w:b/>
          <w:bCs/>
          <w:sz w:val="24"/>
          <w:szCs w:val="24"/>
        </w:rPr>
      </w:pPr>
      <w:r w:rsidRPr="002135FD">
        <w:rPr>
          <w:b/>
          <w:bCs/>
          <w:sz w:val="24"/>
          <w:szCs w:val="24"/>
        </w:rPr>
        <w:t>FASE DE ANÁLISE</w:t>
      </w:r>
    </w:p>
    <w:p w14:paraId="79F8F87D" w14:textId="77777777" w:rsidR="001A5FF3" w:rsidRDefault="001A5FF3" w:rsidP="001A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line="240" w:lineRule="auto"/>
        <w:jc w:val="center"/>
      </w:pPr>
      <w:proofErr w:type="gramStart"/>
      <w:r>
        <w:t>( )</w:t>
      </w:r>
      <w:proofErr w:type="gramEnd"/>
      <w:r>
        <w:t xml:space="preserve"> Planejamento da Contratação e Seleção do Fornecedor </w:t>
      </w:r>
    </w:p>
    <w:p w14:paraId="5F61BEDB" w14:textId="77777777" w:rsidR="001A5FF3" w:rsidRDefault="001A5FF3" w:rsidP="001A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t>( )</w:t>
      </w:r>
      <w:proofErr w:type="gramEnd"/>
      <w:r>
        <w:t xml:space="preserve"> Gestão do Contrato</w:t>
      </w:r>
    </w:p>
    <w:p w14:paraId="43E3C3AE" w14:textId="77777777" w:rsidR="001A5FF3" w:rsidRDefault="001A5FF3" w:rsidP="001A5FF3">
      <w:pPr>
        <w:tabs>
          <w:tab w:val="left" w:pos="979"/>
        </w:tabs>
        <w:jc w:val="center"/>
        <w:rPr>
          <w:b/>
          <w:bCs/>
          <w:sz w:val="24"/>
          <w:szCs w:val="24"/>
        </w:rPr>
      </w:pPr>
    </w:p>
    <w:p w14:paraId="13D6C82D" w14:textId="77777777" w:rsidR="001A5FF3" w:rsidRPr="006E5F86" w:rsidRDefault="001A5FF3" w:rsidP="001A5FF3">
      <w:pPr>
        <w:tabs>
          <w:tab w:val="left" w:pos="979"/>
        </w:tabs>
        <w:jc w:val="center"/>
        <w:rPr>
          <w:sz w:val="24"/>
          <w:szCs w:val="24"/>
        </w:rPr>
      </w:pPr>
      <w:r w:rsidRPr="006E5F86">
        <w:rPr>
          <w:b/>
          <w:bCs/>
          <w:sz w:val="24"/>
          <w:szCs w:val="24"/>
        </w:rPr>
        <w:t>MAPA DE RISCO</w:t>
      </w:r>
    </w:p>
    <w:p w14:paraId="31CA1148" w14:textId="77777777" w:rsidR="001A5FF3" w:rsidRPr="00F16ADF" w:rsidRDefault="001A5FF3" w:rsidP="001A5FF3">
      <w:pPr>
        <w:tabs>
          <w:tab w:val="left" w:pos="979"/>
        </w:tabs>
        <w:jc w:val="center"/>
        <w:rPr>
          <w:sz w:val="20"/>
          <w:szCs w:val="20"/>
        </w:rPr>
      </w:pPr>
      <w:r w:rsidRPr="00F16ADF">
        <w:rPr>
          <w:sz w:val="20"/>
          <w:szCs w:val="20"/>
        </w:rPr>
        <w:t>(adaptado de anexo IV da IN nº 05/2017/SEGES/MPGD)</w:t>
      </w:r>
    </w:p>
    <w:tbl>
      <w:tblPr>
        <w:tblStyle w:val="Tabelacomgrade"/>
        <w:tblW w:w="15913" w:type="dxa"/>
        <w:tblInd w:w="-572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417"/>
        <w:gridCol w:w="850"/>
        <w:gridCol w:w="1135"/>
        <w:gridCol w:w="1740"/>
        <w:gridCol w:w="1450"/>
        <w:gridCol w:w="2236"/>
        <w:gridCol w:w="1698"/>
      </w:tblGrid>
      <w:tr w:rsidR="001A5FF3" w:rsidRPr="00777D9D" w14:paraId="1D9B0A23" w14:textId="77777777" w:rsidTr="00461ACD">
        <w:tc>
          <w:tcPr>
            <w:tcW w:w="1985" w:type="dxa"/>
            <w:vAlign w:val="center"/>
          </w:tcPr>
          <w:p w14:paraId="3005D412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Risco</w:t>
            </w:r>
          </w:p>
        </w:tc>
        <w:tc>
          <w:tcPr>
            <w:tcW w:w="1701" w:type="dxa"/>
            <w:vAlign w:val="center"/>
          </w:tcPr>
          <w:p w14:paraId="6AA57301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Causa</w:t>
            </w:r>
          </w:p>
        </w:tc>
        <w:tc>
          <w:tcPr>
            <w:tcW w:w="1701" w:type="dxa"/>
            <w:vAlign w:val="center"/>
          </w:tcPr>
          <w:p w14:paraId="6839DD9B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Dano/</w:t>
            </w:r>
          </w:p>
          <w:p w14:paraId="0EF760E6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Consequência</w:t>
            </w:r>
          </w:p>
        </w:tc>
        <w:tc>
          <w:tcPr>
            <w:tcW w:w="1417" w:type="dxa"/>
            <w:vAlign w:val="center"/>
          </w:tcPr>
          <w:p w14:paraId="434D0603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Probabilidade</w:t>
            </w:r>
          </w:p>
          <w:p w14:paraId="7CEC6C3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(1 a 5)</w:t>
            </w:r>
          </w:p>
        </w:tc>
        <w:tc>
          <w:tcPr>
            <w:tcW w:w="850" w:type="dxa"/>
            <w:vAlign w:val="center"/>
          </w:tcPr>
          <w:p w14:paraId="1501677C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Impacto</w:t>
            </w:r>
          </w:p>
          <w:p w14:paraId="71EBB55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(1 a 5)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A97EA3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1025C9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(ref. Matriz)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42A7B1E6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Ação Preventiva</w:t>
            </w: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3660AD9B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35F0E01C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Ação de Contingência</w:t>
            </w:r>
          </w:p>
          <w:p w14:paraId="74D272FA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(se o risco se concretizar)</w:t>
            </w: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4891D4BC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</w:tr>
      <w:tr w:rsidR="001A5FF3" w:rsidRPr="00777D9D" w14:paraId="1657B36A" w14:textId="77777777" w:rsidTr="00461ACD">
        <w:tc>
          <w:tcPr>
            <w:tcW w:w="1985" w:type="dxa"/>
            <w:vAlign w:val="center"/>
          </w:tcPr>
          <w:p w14:paraId="5FE0B263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1701" w:type="dxa"/>
            <w:vAlign w:val="center"/>
          </w:tcPr>
          <w:p w14:paraId="4A28595B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8F8C64A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DBAA46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68200B68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306275AA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4C48CF47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2044AC7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05980FC5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35A1AC3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FF3" w:rsidRPr="00777D9D" w14:paraId="024D89EC" w14:textId="77777777" w:rsidTr="00461ACD">
        <w:tc>
          <w:tcPr>
            <w:tcW w:w="1985" w:type="dxa"/>
            <w:vAlign w:val="center"/>
          </w:tcPr>
          <w:p w14:paraId="3D8A944B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 w14:paraId="0867D039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ABDF6B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9A6D50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604645A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00B050"/>
            <w:vAlign w:val="center"/>
          </w:tcPr>
          <w:p w14:paraId="02EA0929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676E0AF0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03A6770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2430155E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63B06CD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FF3" w:rsidRPr="00777D9D" w14:paraId="654329FA" w14:textId="77777777" w:rsidTr="00461ACD">
        <w:tc>
          <w:tcPr>
            <w:tcW w:w="1985" w:type="dxa"/>
            <w:vAlign w:val="center"/>
          </w:tcPr>
          <w:p w14:paraId="73B0CD37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1701" w:type="dxa"/>
            <w:vAlign w:val="center"/>
          </w:tcPr>
          <w:p w14:paraId="60BDB6CF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1B0F78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2D5A7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3CF55CD4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FF0000"/>
            <w:vAlign w:val="center"/>
          </w:tcPr>
          <w:p w14:paraId="2BF70EA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3FFADEA3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163BDA4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11308439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0D4D305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FF3" w:rsidRPr="00777D9D" w14:paraId="3C91AB46" w14:textId="77777777" w:rsidTr="00461ACD">
        <w:tc>
          <w:tcPr>
            <w:tcW w:w="1985" w:type="dxa"/>
            <w:vAlign w:val="center"/>
          </w:tcPr>
          <w:p w14:paraId="5CAE4F82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2D1973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3627D8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A365DB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32875AFA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B9E93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30338B0A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4469C5B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28D3CBF6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60447036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64663C" w14:textId="77777777" w:rsidR="001A5FF3" w:rsidRDefault="001A5FF3" w:rsidP="001A5FF3">
      <w:pPr>
        <w:tabs>
          <w:tab w:val="left" w:pos="979"/>
        </w:tabs>
        <w:rPr>
          <w:sz w:val="20"/>
          <w:szCs w:val="20"/>
        </w:rPr>
      </w:pPr>
    </w:p>
    <w:p w14:paraId="15B2E26B" w14:textId="77777777" w:rsidR="001A5FF3" w:rsidRPr="006E5F86" w:rsidRDefault="001A5FF3" w:rsidP="001A5FF3">
      <w:pPr>
        <w:tabs>
          <w:tab w:val="left" w:pos="979"/>
        </w:tabs>
        <w:jc w:val="center"/>
        <w:rPr>
          <w:b/>
          <w:bCs/>
          <w:sz w:val="24"/>
          <w:szCs w:val="24"/>
        </w:rPr>
      </w:pPr>
      <w:r w:rsidRPr="006E5F86">
        <w:rPr>
          <w:b/>
          <w:bCs/>
          <w:sz w:val="24"/>
          <w:szCs w:val="24"/>
        </w:rPr>
        <w:t>MATRIZ DE RISCO</w:t>
      </w:r>
    </w:p>
    <w:tbl>
      <w:tblPr>
        <w:tblStyle w:val="Tabelacomgrade1"/>
        <w:tblW w:w="8363" w:type="dxa"/>
        <w:tblInd w:w="2977" w:type="dxa"/>
        <w:tblLook w:val="04A0" w:firstRow="1" w:lastRow="0" w:firstColumn="1" w:lastColumn="0" w:noHBand="0" w:noVBand="1"/>
      </w:tblPr>
      <w:tblGrid>
        <w:gridCol w:w="567"/>
        <w:gridCol w:w="1559"/>
        <w:gridCol w:w="1219"/>
        <w:gridCol w:w="1276"/>
        <w:gridCol w:w="1417"/>
        <w:gridCol w:w="1134"/>
        <w:gridCol w:w="1191"/>
      </w:tblGrid>
      <w:tr w:rsidR="001A5FF3" w:rsidRPr="00777D9D" w14:paraId="2A26B98F" w14:textId="77777777" w:rsidTr="001A5FF3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14:paraId="0AA4D574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709D678E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14:paraId="619A971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14:paraId="02A230FC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233DE3CE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14:paraId="1859086B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14:paraId="2AA4AC4A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0A726E4D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Muito Alto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219" w:type="dxa"/>
            <w:shd w:val="clear" w:color="auto" w:fill="FFFF00"/>
            <w:vAlign w:val="center"/>
          </w:tcPr>
          <w:p w14:paraId="62FE2429" w14:textId="77777777" w:rsidR="001A5FF3" w:rsidRPr="001A5FF3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A5FF3">
              <w:rPr>
                <w:rFonts w:ascii="Arial" w:hAnsi="Arial" w:cs="Arial"/>
                <w:sz w:val="16"/>
                <w:szCs w:val="16"/>
                <w:highlight w:val="yellow"/>
              </w:rPr>
              <w:t>Médi</w:t>
            </w:r>
            <w:r w:rsidRPr="001A5FF3">
              <w:rPr>
                <w:rFonts w:ascii="Arial" w:hAnsi="Arial" w:cs="Arial"/>
                <w:sz w:val="16"/>
                <w:szCs w:val="16"/>
                <w:highlight w:val="yellow"/>
                <w:shd w:val="clear" w:color="auto" w:fill="FFFF00"/>
              </w:rPr>
              <w:t>o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4ABE2ED5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7D177778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4AA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84F2B7C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4AA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6043F54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4F7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1A5FF3" w:rsidRPr="00777D9D" w14:paraId="33FAE895" w14:textId="77777777" w:rsidTr="001A5FF3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2AA95EF8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EAD1687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Alto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1219" w:type="dxa"/>
            <w:shd w:val="clear" w:color="auto" w:fill="FFFF00"/>
            <w:vAlign w:val="center"/>
          </w:tcPr>
          <w:p w14:paraId="114608FF" w14:textId="77777777" w:rsidR="001A5FF3" w:rsidRPr="001A5FF3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A5FF3">
              <w:rPr>
                <w:rFonts w:ascii="Arial" w:hAnsi="Arial" w:cs="Arial"/>
                <w:sz w:val="16"/>
                <w:szCs w:val="16"/>
                <w:highlight w:val="yellow"/>
              </w:rPr>
              <w:t>Médio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46D3CAD8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96B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4619A0C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4AA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038CF3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4AA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7E739A7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4F7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1A5FF3" w:rsidRPr="00777D9D" w14:paraId="7B7938E6" w14:textId="77777777" w:rsidTr="001A5FF3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3BB96C14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53740DD6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Médio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2643AB07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D04EEA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BF6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1455976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BF6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C85CBF3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23EDF914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4F7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1A5FF3" w:rsidRPr="00777D9D" w14:paraId="3067A5AE" w14:textId="77777777" w:rsidTr="001A5FF3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7488B814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C0AC017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Baixo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037810B2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ABC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0252414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BF6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BE5DB93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BF6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C2554BE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C3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1F30DBA9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4F7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1A5FF3" w:rsidRPr="00777D9D" w14:paraId="75BC9502" w14:textId="77777777" w:rsidTr="00461ACD">
        <w:trPr>
          <w:trHeight w:val="397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14:paraId="134BE266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613922E4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Muito baixo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67FC7BB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ABC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5C23E59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682C9DB6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2AB3B9E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C3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91" w:type="dxa"/>
            <w:shd w:val="clear" w:color="auto" w:fill="FFFF00"/>
            <w:vAlign w:val="center"/>
          </w:tcPr>
          <w:p w14:paraId="4E1AD079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</w:tr>
      <w:tr w:rsidR="001A5FF3" w:rsidRPr="00777D9D" w14:paraId="3FCD5349" w14:textId="77777777" w:rsidTr="00CE605A">
        <w:trPr>
          <w:trHeight w:val="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AD72D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CCAC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4EE4BF65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388F6886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Raro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0A9A68E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37679989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Pouco Provável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C79F1AA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0D38D8E2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Provável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E50C93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66203F43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Muito Provável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7E27E1B3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5B0A939A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Praticamente certo</w:t>
            </w:r>
          </w:p>
        </w:tc>
      </w:tr>
      <w:tr w:rsidR="001A5FF3" w:rsidRPr="00777D9D" w14:paraId="2522926B" w14:textId="77777777" w:rsidTr="00CE605A">
        <w:trPr>
          <w:trHeight w:val="4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00F747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3DE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  <w:right w:val="nil"/>
            </w:tcBorders>
          </w:tcPr>
          <w:p w14:paraId="0B21A779" w14:textId="77777777" w:rsidR="001A5FF3" w:rsidRPr="00777D9D" w:rsidRDefault="001A5FF3" w:rsidP="00CE605A">
            <w:pPr>
              <w:tabs>
                <w:tab w:val="left" w:pos="979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PROBABILIDADE</w:t>
            </w:r>
          </w:p>
        </w:tc>
      </w:tr>
    </w:tbl>
    <w:p w14:paraId="49AAA423" w14:textId="77777777" w:rsidR="008F2E85" w:rsidRDefault="008F2E85" w:rsidP="009250DF">
      <w:pPr>
        <w:spacing w:before="57" w:after="57" w:line="240" w:lineRule="auto"/>
        <w:jc w:val="both"/>
        <w:rPr>
          <w:rFonts w:eastAsia="Arial Narrow" w:cs="Arial Narrow"/>
          <w:color w:val="000000"/>
          <w:sz w:val="19"/>
          <w:szCs w:val="19"/>
        </w:rPr>
        <w:sectPr w:rsidR="008F2E85" w:rsidSect="008F2E85">
          <w:pgSz w:w="16838" w:h="11906" w:orient="landscape"/>
          <w:pgMar w:top="1134" w:right="1800" w:bottom="1134" w:left="1058" w:header="435" w:footer="414" w:gutter="0"/>
          <w:cols w:space="720"/>
          <w:formProt w:val="0"/>
          <w:docGrid w:linePitch="299" w:charSpace="4096"/>
        </w:sectPr>
      </w:pPr>
    </w:p>
    <w:p w14:paraId="65276EEA" w14:textId="77777777" w:rsidR="00FE2D16" w:rsidRPr="003A11C2" w:rsidRDefault="00FE2D16" w:rsidP="00387981">
      <w:pPr>
        <w:spacing w:before="57" w:after="57" w:line="240" w:lineRule="auto"/>
        <w:rPr>
          <w:rFonts w:eastAsia="Arial Narrow"/>
          <w:color w:val="000000"/>
          <w:sz w:val="20"/>
          <w:szCs w:val="20"/>
        </w:rPr>
      </w:pPr>
    </w:p>
    <w:sectPr w:rsidR="00FE2D16" w:rsidRPr="003A11C2" w:rsidSect="008F2E85">
      <w:pgSz w:w="11906" w:h="16838"/>
      <w:pgMar w:top="1800" w:right="1134" w:bottom="1058" w:left="1134" w:header="435" w:footer="4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15EE" w14:textId="77777777" w:rsidR="00274A73" w:rsidRDefault="00274A73">
      <w:pPr>
        <w:spacing w:line="240" w:lineRule="auto"/>
      </w:pPr>
      <w:r>
        <w:separator/>
      </w:r>
    </w:p>
  </w:endnote>
  <w:endnote w:type="continuationSeparator" w:id="0">
    <w:p w14:paraId="20D58E67" w14:textId="77777777" w:rsidR="00274A73" w:rsidRDefault="00274A73">
      <w:pPr>
        <w:spacing w:line="240" w:lineRule="auto"/>
      </w:pPr>
      <w:r>
        <w:continuationSeparator/>
      </w:r>
    </w:p>
  </w:endnote>
  <w:endnote w:type="continuationNotice" w:id="1">
    <w:p w14:paraId="051B5930" w14:textId="77777777" w:rsidR="006D5E64" w:rsidRDefault="006D5E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56294"/>
      <w:docPartObj>
        <w:docPartGallery w:val="Page Numbers (Bottom of Page)"/>
        <w:docPartUnique/>
      </w:docPartObj>
    </w:sdtPr>
    <w:sdtEndPr/>
    <w:sdtContent>
      <w:p w14:paraId="0715CF5C" w14:textId="7B0C7489" w:rsidR="003D02DE" w:rsidRDefault="003D02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53142" w14:textId="5B989194" w:rsidR="00FE2D16" w:rsidRPr="00722E46" w:rsidRDefault="00FE2D16" w:rsidP="00722E46">
    <w:pPr>
      <w:pStyle w:val="Rodap"/>
    </w:pPr>
  </w:p>
  <w:p w14:paraId="4AF4650B" w14:textId="77777777" w:rsidR="001F5B4A" w:rsidRDefault="001F5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9504" w14:textId="77777777" w:rsidR="00274A73" w:rsidRDefault="00274A73">
      <w:r>
        <w:separator/>
      </w:r>
    </w:p>
  </w:footnote>
  <w:footnote w:type="continuationSeparator" w:id="0">
    <w:p w14:paraId="61A74F3D" w14:textId="77777777" w:rsidR="00274A73" w:rsidRDefault="00274A73">
      <w:r>
        <w:continuationSeparator/>
      </w:r>
    </w:p>
  </w:footnote>
  <w:footnote w:type="continuationNotice" w:id="1">
    <w:p w14:paraId="5B621CA8" w14:textId="77777777" w:rsidR="006D5E64" w:rsidRDefault="006D5E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6C69" w14:textId="7F3BD71D" w:rsidR="00A06B56" w:rsidRDefault="00A06B56" w:rsidP="00A06B56">
    <w:pPr>
      <w:pStyle w:val="Cabealho"/>
    </w:pPr>
    <w:r w:rsidRPr="00A43D8E">
      <w:rPr>
        <w:noProof/>
      </w:rPr>
      <w:drawing>
        <wp:inline distT="0" distB="0" distL="0" distR="0" wp14:anchorId="656A247B" wp14:editId="36F58745">
          <wp:extent cx="6162675" cy="86677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088"/>
                  <a:stretch/>
                </pic:blipFill>
                <pic:spPr bwMode="auto">
                  <a:xfrm>
                    <a:off x="0" y="0"/>
                    <a:ext cx="6162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70AECF" w14:textId="12731E9D" w:rsidR="00FE2D16" w:rsidRPr="00A06B56" w:rsidRDefault="00FE2D16" w:rsidP="00A06B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F39"/>
    <w:multiLevelType w:val="multilevel"/>
    <w:tmpl w:val="2A9620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C0B"/>
    <w:multiLevelType w:val="multilevel"/>
    <w:tmpl w:val="CCC2BD4E"/>
    <w:lvl w:ilvl="0">
      <w:start w:val="1"/>
      <w:numFmt w:val="bullet"/>
      <w:lvlText w:val=""/>
      <w:lvlJc w:val="left"/>
      <w:pPr>
        <w:tabs>
          <w:tab w:val="num" w:pos="397"/>
        </w:tabs>
        <w:ind w:left="340" w:hanging="17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F06766"/>
    <w:multiLevelType w:val="multilevel"/>
    <w:tmpl w:val="10560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F842D0"/>
    <w:multiLevelType w:val="hybridMultilevel"/>
    <w:tmpl w:val="D39ED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627C"/>
    <w:multiLevelType w:val="multilevel"/>
    <w:tmpl w:val="E0D05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107B8"/>
    <w:multiLevelType w:val="multilevel"/>
    <w:tmpl w:val="7D68A1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2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3E10CAF"/>
    <w:multiLevelType w:val="hybridMultilevel"/>
    <w:tmpl w:val="52B8D60E"/>
    <w:lvl w:ilvl="0" w:tplc="60A62168">
      <w:start w:val="1"/>
      <w:numFmt w:val="lowerLetter"/>
      <w:lvlText w:val="%1)"/>
      <w:lvlJc w:val="left"/>
      <w:pPr>
        <w:ind w:left="927" w:hanging="360"/>
      </w:pPr>
      <w:rPr>
        <w:rFonts w:ascii="Arial" w:eastAsia="SimSu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AA0AF7"/>
    <w:multiLevelType w:val="multilevel"/>
    <w:tmpl w:val="987EC8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2F24E7E"/>
    <w:multiLevelType w:val="hybridMultilevel"/>
    <w:tmpl w:val="9E0CBFDE"/>
    <w:lvl w:ilvl="0" w:tplc="54F813CA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2814"/>
    <w:multiLevelType w:val="multilevel"/>
    <w:tmpl w:val="629528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43DB"/>
    <w:multiLevelType w:val="multilevel"/>
    <w:tmpl w:val="D44C1A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6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891"/>
        </w:tabs>
        <w:ind w:left="8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51"/>
        </w:tabs>
        <w:ind w:left="12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71"/>
        </w:tabs>
        <w:ind w:left="19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31"/>
        </w:tabs>
        <w:ind w:left="23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51"/>
        </w:tabs>
        <w:ind w:left="30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11"/>
        </w:tabs>
        <w:ind w:left="3411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6E165A2"/>
    <w:multiLevelType w:val="multilevel"/>
    <w:tmpl w:val="AC467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F233D7F"/>
    <w:multiLevelType w:val="hybridMultilevel"/>
    <w:tmpl w:val="C9266EFA"/>
    <w:lvl w:ilvl="0" w:tplc="D3DC1B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78947">
    <w:abstractNumId w:val="1"/>
  </w:num>
  <w:num w:numId="2" w16cid:durableId="434444324">
    <w:abstractNumId w:val="10"/>
  </w:num>
  <w:num w:numId="3" w16cid:durableId="1635872576">
    <w:abstractNumId w:val="7"/>
  </w:num>
  <w:num w:numId="4" w16cid:durableId="1088499095">
    <w:abstractNumId w:val="5"/>
  </w:num>
  <w:num w:numId="5" w16cid:durableId="1961108474">
    <w:abstractNumId w:val="2"/>
  </w:num>
  <w:num w:numId="6" w16cid:durableId="1457867412">
    <w:abstractNumId w:val="9"/>
  </w:num>
  <w:num w:numId="7" w16cid:durableId="1464880914">
    <w:abstractNumId w:val="8"/>
  </w:num>
  <w:num w:numId="8" w16cid:durableId="781922018">
    <w:abstractNumId w:val="12"/>
  </w:num>
  <w:num w:numId="9" w16cid:durableId="1462772371">
    <w:abstractNumId w:val="0"/>
  </w:num>
  <w:num w:numId="10" w16cid:durableId="1584147674">
    <w:abstractNumId w:val="6"/>
  </w:num>
  <w:num w:numId="11" w16cid:durableId="1400009816">
    <w:abstractNumId w:val="4"/>
  </w:num>
  <w:num w:numId="12" w16cid:durableId="1058548978">
    <w:abstractNumId w:val="11"/>
  </w:num>
  <w:num w:numId="13" w16cid:durableId="93343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16"/>
    <w:rsid w:val="00030002"/>
    <w:rsid w:val="00040E19"/>
    <w:rsid w:val="00040E78"/>
    <w:rsid w:val="000413EB"/>
    <w:rsid w:val="00044703"/>
    <w:rsid w:val="0005121D"/>
    <w:rsid w:val="000521F2"/>
    <w:rsid w:val="0005542B"/>
    <w:rsid w:val="00057248"/>
    <w:rsid w:val="0006454A"/>
    <w:rsid w:val="0008512B"/>
    <w:rsid w:val="000864B6"/>
    <w:rsid w:val="00093A88"/>
    <w:rsid w:val="000A1727"/>
    <w:rsid w:val="000A75DC"/>
    <w:rsid w:val="000B0396"/>
    <w:rsid w:val="000B11DC"/>
    <w:rsid w:val="000B3899"/>
    <w:rsid w:val="000B6F23"/>
    <w:rsid w:val="000D16EF"/>
    <w:rsid w:val="000D2C5B"/>
    <w:rsid w:val="000D5465"/>
    <w:rsid w:val="000E2563"/>
    <w:rsid w:val="000E2990"/>
    <w:rsid w:val="000E401D"/>
    <w:rsid w:val="000F643C"/>
    <w:rsid w:val="00101765"/>
    <w:rsid w:val="0010630F"/>
    <w:rsid w:val="00110265"/>
    <w:rsid w:val="00111332"/>
    <w:rsid w:val="00117C9F"/>
    <w:rsid w:val="001308D0"/>
    <w:rsid w:val="001315E9"/>
    <w:rsid w:val="0014233A"/>
    <w:rsid w:val="00142728"/>
    <w:rsid w:val="00145EB9"/>
    <w:rsid w:val="00151930"/>
    <w:rsid w:val="001533DC"/>
    <w:rsid w:val="001555FC"/>
    <w:rsid w:val="00155CB7"/>
    <w:rsid w:val="00157D4D"/>
    <w:rsid w:val="00164612"/>
    <w:rsid w:val="00164BCA"/>
    <w:rsid w:val="00170AE1"/>
    <w:rsid w:val="0017124A"/>
    <w:rsid w:val="001900D7"/>
    <w:rsid w:val="001950BB"/>
    <w:rsid w:val="00196D57"/>
    <w:rsid w:val="001A2152"/>
    <w:rsid w:val="001A5FF3"/>
    <w:rsid w:val="001B41FC"/>
    <w:rsid w:val="001C4531"/>
    <w:rsid w:val="001C4DD5"/>
    <w:rsid w:val="001C58A9"/>
    <w:rsid w:val="001E341C"/>
    <w:rsid w:val="001E4941"/>
    <w:rsid w:val="001E7EB9"/>
    <w:rsid w:val="001F242E"/>
    <w:rsid w:val="001F459C"/>
    <w:rsid w:val="001F5B4A"/>
    <w:rsid w:val="001F6A48"/>
    <w:rsid w:val="0020407C"/>
    <w:rsid w:val="002246BF"/>
    <w:rsid w:val="0022681B"/>
    <w:rsid w:val="002513E6"/>
    <w:rsid w:val="00254F79"/>
    <w:rsid w:val="00256CB0"/>
    <w:rsid w:val="00257448"/>
    <w:rsid w:val="00257EC9"/>
    <w:rsid w:val="00260693"/>
    <w:rsid w:val="00264C0E"/>
    <w:rsid w:val="00265705"/>
    <w:rsid w:val="002679FF"/>
    <w:rsid w:val="00274A73"/>
    <w:rsid w:val="00276E9E"/>
    <w:rsid w:val="00283928"/>
    <w:rsid w:val="00290760"/>
    <w:rsid w:val="002A0003"/>
    <w:rsid w:val="002A31CC"/>
    <w:rsid w:val="002A67F4"/>
    <w:rsid w:val="002B4CE5"/>
    <w:rsid w:val="002C1F0C"/>
    <w:rsid w:val="002D055A"/>
    <w:rsid w:val="002D391A"/>
    <w:rsid w:val="002F3EC3"/>
    <w:rsid w:val="00303247"/>
    <w:rsid w:val="00304372"/>
    <w:rsid w:val="0031099F"/>
    <w:rsid w:val="0032147C"/>
    <w:rsid w:val="00332257"/>
    <w:rsid w:val="00335824"/>
    <w:rsid w:val="00337921"/>
    <w:rsid w:val="00347E95"/>
    <w:rsid w:val="0035009E"/>
    <w:rsid w:val="00350F22"/>
    <w:rsid w:val="00356447"/>
    <w:rsid w:val="00357C9F"/>
    <w:rsid w:val="00361A30"/>
    <w:rsid w:val="00361E16"/>
    <w:rsid w:val="00362C91"/>
    <w:rsid w:val="00363573"/>
    <w:rsid w:val="00370C25"/>
    <w:rsid w:val="00372721"/>
    <w:rsid w:val="0038188A"/>
    <w:rsid w:val="00387981"/>
    <w:rsid w:val="00390091"/>
    <w:rsid w:val="003900F9"/>
    <w:rsid w:val="0039154D"/>
    <w:rsid w:val="003A11C2"/>
    <w:rsid w:val="003A3D21"/>
    <w:rsid w:val="003B30D1"/>
    <w:rsid w:val="003B46F7"/>
    <w:rsid w:val="003C0DE9"/>
    <w:rsid w:val="003D02DE"/>
    <w:rsid w:val="003E0B16"/>
    <w:rsid w:val="003E3D80"/>
    <w:rsid w:val="003E565E"/>
    <w:rsid w:val="003E7C04"/>
    <w:rsid w:val="003F41F4"/>
    <w:rsid w:val="00400EBA"/>
    <w:rsid w:val="00415432"/>
    <w:rsid w:val="0042118E"/>
    <w:rsid w:val="0042545E"/>
    <w:rsid w:val="004333D8"/>
    <w:rsid w:val="004339D7"/>
    <w:rsid w:val="0043532B"/>
    <w:rsid w:val="00436675"/>
    <w:rsid w:val="00436739"/>
    <w:rsid w:val="00436B2E"/>
    <w:rsid w:val="00437817"/>
    <w:rsid w:val="00461ACD"/>
    <w:rsid w:val="00465B45"/>
    <w:rsid w:val="00473A75"/>
    <w:rsid w:val="004754A6"/>
    <w:rsid w:val="00481091"/>
    <w:rsid w:val="00481780"/>
    <w:rsid w:val="00490B38"/>
    <w:rsid w:val="004945CC"/>
    <w:rsid w:val="00494CFD"/>
    <w:rsid w:val="004A4545"/>
    <w:rsid w:val="004A579A"/>
    <w:rsid w:val="004A6655"/>
    <w:rsid w:val="004B583C"/>
    <w:rsid w:val="004B7493"/>
    <w:rsid w:val="004C5672"/>
    <w:rsid w:val="004D17E1"/>
    <w:rsid w:val="004D4805"/>
    <w:rsid w:val="004D54A2"/>
    <w:rsid w:val="004E0476"/>
    <w:rsid w:val="004E18CC"/>
    <w:rsid w:val="004E2287"/>
    <w:rsid w:val="004F4D77"/>
    <w:rsid w:val="004F7AD9"/>
    <w:rsid w:val="00503761"/>
    <w:rsid w:val="00507871"/>
    <w:rsid w:val="005133E8"/>
    <w:rsid w:val="00520B41"/>
    <w:rsid w:val="0053134A"/>
    <w:rsid w:val="0053515A"/>
    <w:rsid w:val="0053539F"/>
    <w:rsid w:val="005434C8"/>
    <w:rsid w:val="00544268"/>
    <w:rsid w:val="00547FD3"/>
    <w:rsid w:val="00565605"/>
    <w:rsid w:val="00567E4B"/>
    <w:rsid w:val="005700BE"/>
    <w:rsid w:val="005707F7"/>
    <w:rsid w:val="0057092D"/>
    <w:rsid w:val="00572B2D"/>
    <w:rsid w:val="00572BAA"/>
    <w:rsid w:val="00573944"/>
    <w:rsid w:val="005819A1"/>
    <w:rsid w:val="00581FA2"/>
    <w:rsid w:val="005906C8"/>
    <w:rsid w:val="00591F52"/>
    <w:rsid w:val="0059783C"/>
    <w:rsid w:val="005A1FC3"/>
    <w:rsid w:val="005A32D8"/>
    <w:rsid w:val="005A67E0"/>
    <w:rsid w:val="005B7503"/>
    <w:rsid w:val="005E4AEB"/>
    <w:rsid w:val="005F2A65"/>
    <w:rsid w:val="005F3570"/>
    <w:rsid w:val="00621624"/>
    <w:rsid w:val="006218EE"/>
    <w:rsid w:val="006234F8"/>
    <w:rsid w:val="00623DD5"/>
    <w:rsid w:val="00631A7E"/>
    <w:rsid w:val="006406A9"/>
    <w:rsid w:val="006468D7"/>
    <w:rsid w:val="00654896"/>
    <w:rsid w:val="00663A67"/>
    <w:rsid w:val="00665506"/>
    <w:rsid w:val="006900B8"/>
    <w:rsid w:val="00692090"/>
    <w:rsid w:val="006A559F"/>
    <w:rsid w:val="006B3B34"/>
    <w:rsid w:val="006B61F2"/>
    <w:rsid w:val="006C2020"/>
    <w:rsid w:val="006D1E60"/>
    <w:rsid w:val="006D21C5"/>
    <w:rsid w:val="006D4558"/>
    <w:rsid w:val="006D5E64"/>
    <w:rsid w:val="006E185D"/>
    <w:rsid w:val="006E32DC"/>
    <w:rsid w:val="006F1444"/>
    <w:rsid w:val="00700ABC"/>
    <w:rsid w:val="00703B5D"/>
    <w:rsid w:val="0070455B"/>
    <w:rsid w:val="00720405"/>
    <w:rsid w:val="00722E46"/>
    <w:rsid w:val="007246A9"/>
    <w:rsid w:val="0073362F"/>
    <w:rsid w:val="00733E61"/>
    <w:rsid w:val="00740330"/>
    <w:rsid w:val="0074110C"/>
    <w:rsid w:val="0074355F"/>
    <w:rsid w:val="00743F69"/>
    <w:rsid w:val="00747D1F"/>
    <w:rsid w:val="0075690A"/>
    <w:rsid w:val="00760C2A"/>
    <w:rsid w:val="007719DC"/>
    <w:rsid w:val="00773669"/>
    <w:rsid w:val="007739E5"/>
    <w:rsid w:val="00776EEF"/>
    <w:rsid w:val="0079222D"/>
    <w:rsid w:val="00795EAB"/>
    <w:rsid w:val="007A0BDE"/>
    <w:rsid w:val="007A5A6A"/>
    <w:rsid w:val="007A7AF2"/>
    <w:rsid w:val="007B50F6"/>
    <w:rsid w:val="007D55CC"/>
    <w:rsid w:val="007E503A"/>
    <w:rsid w:val="007F062D"/>
    <w:rsid w:val="007F566A"/>
    <w:rsid w:val="008027CB"/>
    <w:rsid w:val="00813BFA"/>
    <w:rsid w:val="00813D67"/>
    <w:rsid w:val="00830D72"/>
    <w:rsid w:val="0083609B"/>
    <w:rsid w:val="00836ECD"/>
    <w:rsid w:val="0083754E"/>
    <w:rsid w:val="008406BF"/>
    <w:rsid w:val="0084407E"/>
    <w:rsid w:val="00845E2F"/>
    <w:rsid w:val="00854028"/>
    <w:rsid w:val="00862316"/>
    <w:rsid w:val="00862865"/>
    <w:rsid w:val="008679F9"/>
    <w:rsid w:val="0087057A"/>
    <w:rsid w:val="0087356A"/>
    <w:rsid w:val="00883E97"/>
    <w:rsid w:val="00887C81"/>
    <w:rsid w:val="0089047C"/>
    <w:rsid w:val="008954B8"/>
    <w:rsid w:val="008A2019"/>
    <w:rsid w:val="008A3CFD"/>
    <w:rsid w:val="008C18F5"/>
    <w:rsid w:val="008C1FC7"/>
    <w:rsid w:val="008C2B89"/>
    <w:rsid w:val="008C6AD9"/>
    <w:rsid w:val="008D4478"/>
    <w:rsid w:val="008D4552"/>
    <w:rsid w:val="008D6C67"/>
    <w:rsid w:val="008D6C8E"/>
    <w:rsid w:val="008E5790"/>
    <w:rsid w:val="008E6C98"/>
    <w:rsid w:val="008F12B1"/>
    <w:rsid w:val="008F1BF9"/>
    <w:rsid w:val="008F2E85"/>
    <w:rsid w:val="00907276"/>
    <w:rsid w:val="00907C98"/>
    <w:rsid w:val="00910D70"/>
    <w:rsid w:val="0091192E"/>
    <w:rsid w:val="0091245A"/>
    <w:rsid w:val="0091466F"/>
    <w:rsid w:val="009223B2"/>
    <w:rsid w:val="0092494E"/>
    <w:rsid w:val="009250DF"/>
    <w:rsid w:val="009338A9"/>
    <w:rsid w:val="00940890"/>
    <w:rsid w:val="00940A2C"/>
    <w:rsid w:val="00950605"/>
    <w:rsid w:val="0095072D"/>
    <w:rsid w:val="00953943"/>
    <w:rsid w:val="00965684"/>
    <w:rsid w:val="00980CB9"/>
    <w:rsid w:val="00994D38"/>
    <w:rsid w:val="009A15ED"/>
    <w:rsid w:val="009A29B4"/>
    <w:rsid w:val="009A2B57"/>
    <w:rsid w:val="009B140D"/>
    <w:rsid w:val="009B382A"/>
    <w:rsid w:val="009B4880"/>
    <w:rsid w:val="009C45FD"/>
    <w:rsid w:val="009D131C"/>
    <w:rsid w:val="009D1CDA"/>
    <w:rsid w:val="009D565C"/>
    <w:rsid w:val="009F1F69"/>
    <w:rsid w:val="00A06B56"/>
    <w:rsid w:val="00A12C88"/>
    <w:rsid w:val="00A134BE"/>
    <w:rsid w:val="00A31644"/>
    <w:rsid w:val="00A32101"/>
    <w:rsid w:val="00A3283F"/>
    <w:rsid w:val="00A50241"/>
    <w:rsid w:val="00A545F6"/>
    <w:rsid w:val="00A559DC"/>
    <w:rsid w:val="00A55F5A"/>
    <w:rsid w:val="00A57C79"/>
    <w:rsid w:val="00A60B3F"/>
    <w:rsid w:val="00A65399"/>
    <w:rsid w:val="00A654A3"/>
    <w:rsid w:val="00A93835"/>
    <w:rsid w:val="00AA6733"/>
    <w:rsid w:val="00AA6E68"/>
    <w:rsid w:val="00AB0E7B"/>
    <w:rsid w:val="00AB53EC"/>
    <w:rsid w:val="00AC5566"/>
    <w:rsid w:val="00AD0042"/>
    <w:rsid w:val="00AD0BA6"/>
    <w:rsid w:val="00AF2CB9"/>
    <w:rsid w:val="00AF477F"/>
    <w:rsid w:val="00B03762"/>
    <w:rsid w:val="00B040E4"/>
    <w:rsid w:val="00B0781F"/>
    <w:rsid w:val="00B13E1B"/>
    <w:rsid w:val="00B32ECB"/>
    <w:rsid w:val="00B43949"/>
    <w:rsid w:val="00B50F3A"/>
    <w:rsid w:val="00B52206"/>
    <w:rsid w:val="00B61ADF"/>
    <w:rsid w:val="00B63A0D"/>
    <w:rsid w:val="00B72A1F"/>
    <w:rsid w:val="00B77251"/>
    <w:rsid w:val="00B82BFC"/>
    <w:rsid w:val="00B87E34"/>
    <w:rsid w:val="00BB18D4"/>
    <w:rsid w:val="00BC3223"/>
    <w:rsid w:val="00BC4F3C"/>
    <w:rsid w:val="00BC5BFE"/>
    <w:rsid w:val="00BC6CDF"/>
    <w:rsid w:val="00BC6F2D"/>
    <w:rsid w:val="00BD1446"/>
    <w:rsid w:val="00BD742E"/>
    <w:rsid w:val="00BE5B25"/>
    <w:rsid w:val="00BF1D11"/>
    <w:rsid w:val="00BF732F"/>
    <w:rsid w:val="00C05EBA"/>
    <w:rsid w:val="00C06E84"/>
    <w:rsid w:val="00C15F5D"/>
    <w:rsid w:val="00C2257A"/>
    <w:rsid w:val="00C331EE"/>
    <w:rsid w:val="00C35C53"/>
    <w:rsid w:val="00C711D9"/>
    <w:rsid w:val="00C85A20"/>
    <w:rsid w:val="00C8697F"/>
    <w:rsid w:val="00C93596"/>
    <w:rsid w:val="00C95860"/>
    <w:rsid w:val="00C95C00"/>
    <w:rsid w:val="00C96785"/>
    <w:rsid w:val="00C97DC4"/>
    <w:rsid w:val="00CA0A03"/>
    <w:rsid w:val="00CA3255"/>
    <w:rsid w:val="00CB402C"/>
    <w:rsid w:val="00CD132A"/>
    <w:rsid w:val="00CD1E67"/>
    <w:rsid w:val="00CE0335"/>
    <w:rsid w:val="00CF250E"/>
    <w:rsid w:val="00CF26C5"/>
    <w:rsid w:val="00CF4895"/>
    <w:rsid w:val="00D002B7"/>
    <w:rsid w:val="00D012FE"/>
    <w:rsid w:val="00D06677"/>
    <w:rsid w:val="00D07E64"/>
    <w:rsid w:val="00D12514"/>
    <w:rsid w:val="00D17A21"/>
    <w:rsid w:val="00D224B2"/>
    <w:rsid w:val="00D226F1"/>
    <w:rsid w:val="00D2616A"/>
    <w:rsid w:val="00D31F1A"/>
    <w:rsid w:val="00D32453"/>
    <w:rsid w:val="00D41429"/>
    <w:rsid w:val="00D45D22"/>
    <w:rsid w:val="00D46A97"/>
    <w:rsid w:val="00D5579F"/>
    <w:rsid w:val="00D74C00"/>
    <w:rsid w:val="00D776E8"/>
    <w:rsid w:val="00D86176"/>
    <w:rsid w:val="00D96B96"/>
    <w:rsid w:val="00DA3A9F"/>
    <w:rsid w:val="00DA4489"/>
    <w:rsid w:val="00DB408C"/>
    <w:rsid w:val="00DC0117"/>
    <w:rsid w:val="00DC4646"/>
    <w:rsid w:val="00DD0F3B"/>
    <w:rsid w:val="00DD7CD3"/>
    <w:rsid w:val="00DF0101"/>
    <w:rsid w:val="00DF0EB8"/>
    <w:rsid w:val="00DF1311"/>
    <w:rsid w:val="00DF1B6E"/>
    <w:rsid w:val="00DF1DEB"/>
    <w:rsid w:val="00DF2698"/>
    <w:rsid w:val="00E030FE"/>
    <w:rsid w:val="00E06446"/>
    <w:rsid w:val="00E10AA2"/>
    <w:rsid w:val="00E11638"/>
    <w:rsid w:val="00E154E0"/>
    <w:rsid w:val="00E21293"/>
    <w:rsid w:val="00E2240A"/>
    <w:rsid w:val="00E228B9"/>
    <w:rsid w:val="00E309A3"/>
    <w:rsid w:val="00E3418F"/>
    <w:rsid w:val="00E36FC7"/>
    <w:rsid w:val="00E43825"/>
    <w:rsid w:val="00E43F58"/>
    <w:rsid w:val="00E45F36"/>
    <w:rsid w:val="00E470F4"/>
    <w:rsid w:val="00E5098E"/>
    <w:rsid w:val="00E65E3A"/>
    <w:rsid w:val="00E76366"/>
    <w:rsid w:val="00E82B91"/>
    <w:rsid w:val="00E83E14"/>
    <w:rsid w:val="00E92E6A"/>
    <w:rsid w:val="00E95413"/>
    <w:rsid w:val="00EB2DDA"/>
    <w:rsid w:val="00EB4BCF"/>
    <w:rsid w:val="00EB67D6"/>
    <w:rsid w:val="00EC442E"/>
    <w:rsid w:val="00EC560A"/>
    <w:rsid w:val="00EE4201"/>
    <w:rsid w:val="00F0474B"/>
    <w:rsid w:val="00F17A17"/>
    <w:rsid w:val="00F17E1D"/>
    <w:rsid w:val="00F216DD"/>
    <w:rsid w:val="00F34E1F"/>
    <w:rsid w:val="00F36272"/>
    <w:rsid w:val="00F363E1"/>
    <w:rsid w:val="00F40A48"/>
    <w:rsid w:val="00F42585"/>
    <w:rsid w:val="00F555A7"/>
    <w:rsid w:val="00F60986"/>
    <w:rsid w:val="00F777C0"/>
    <w:rsid w:val="00F81303"/>
    <w:rsid w:val="00F86F68"/>
    <w:rsid w:val="00F87542"/>
    <w:rsid w:val="00F91AF8"/>
    <w:rsid w:val="00F9312F"/>
    <w:rsid w:val="00F9477E"/>
    <w:rsid w:val="00FA22B2"/>
    <w:rsid w:val="00FA4CA0"/>
    <w:rsid w:val="00FA53D4"/>
    <w:rsid w:val="00FB1F7D"/>
    <w:rsid w:val="00FB62DF"/>
    <w:rsid w:val="00FD7A01"/>
    <w:rsid w:val="00FE1E82"/>
    <w:rsid w:val="00FE2D16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3DB9EA"/>
  <w15:docId w15:val="{5F79529A-E271-4C8D-B2B8-4B1E2CC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B8"/>
    <w:pPr>
      <w:widowControl w:val="0"/>
      <w:spacing w:line="276" w:lineRule="auto"/>
    </w:pPr>
    <w:rPr>
      <w:sz w:val="22"/>
    </w:rPr>
  </w:style>
  <w:style w:type="paragraph" w:styleId="Ttulo1">
    <w:name w:val="heading 1"/>
    <w:basedOn w:val="Ttulo"/>
    <w:next w:val="Normal"/>
    <w:qFormat/>
    <w:pPr>
      <w:widowControl w:val="0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19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19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 w:val="0"/>
      <w:sz w:val="19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5932"/>
        <w:tab w:val="right" w:pos="11865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535"/>
        <w:tab w:val="right" w:pos="9071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06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6A9"/>
    <w:rPr>
      <w:rFonts w:ascii="Tahoma" w:hAnsi="Tahoma" w:cs="Mangal"/>
      <w:sz w:val="16"/>
      <w:szCs w:val="1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609B"/>
    <w:pPr>
      <w:spacing w:after="120"/>
      <w:ind w:left="283"/>
    </w:pPr>
    <w:rPr>
      <w:rFonts w:cs="Mang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609B"/>
    <w:rPr>
      <w:rFonts w:cs="Mangal"/>
      <w:sz w:val="22"/>
      <w:szCs w:val="20"/>
    </w:rPr>
  </w:style>
  <w:style w:type="paragraph" w:styleId="Reviso">
    <w:name w:val="Revision"/>
    <w:hidden/>
    <w:uiPriority w:val="99"/>
    <w:semiHidden/>
    <w:rsid w:val="00A654A3"/>
    <w:rPr>
      <w:rFonts w:cs="Mangal"/>
      <w:sz w:val="2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216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6DD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6DD"/>
    <w:rPr>
      <w:rFonts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6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6DD"/>
    <w:rPr>
      <w:rFonts w:cs="Mangal"/>
      <w:b/>
      <w:bCs/>
      <w:szCs w:val="18"/>
    </w:rPr>
  </w:style>
  <w:style w:type="character" w:styleId="Hyperlink">
    <w:name w:val="Hyperlink"/>
    <w:basedOn w:val="Fontepargpadro"/>
    <w:uiPriority w:val="99"/>
    <w:unhideWhenUsed/>
    <w:rsid w:val="00700A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AB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A06B56"/>
    <w:rPr>
      <w:sz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3D02DE"/>
    <w:rPr>
      <w:sz w:val="22"/>
    </w:rPr>
  </w:style>
  <w:style w:type="table" w:styleId="Tabelacomgrade">
    <w:name w:val="Table Grid"/>
    <w:basedOn w:val="Tabelanormal"/>
    <w:uiPriority w:val="39"/>
    <w:rsid w:val="002679FF"/>
    <w:rPr>
      <w:rFonts w:asciiTheme="minorHAnsi" w:eastAsiaTheme="minorHAnsi" w:hAnsiTheme="minorHAnsi" w:cstheme="minorBidi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79FF"/>
    <w:pPr>
      <w:suppressAutoHyphens/>
      <w:autoSpaceDN w:val="0"/>
      <w:spacing w:after="200" w:line="276" w:lineRule="auto"/>
      <w:textAlignment w:val="baseline"/>
    </w:pPr>
    <w:rPr>
      <w:rFonts w:ascii="Spranq eco sans" w:eastAsia="Times New Roman" w:hAnsi="Spranq eco sans" w:cs="Spranq eco sans"/>
      <w:kern w:val="3"/>
      <w:lang w:bidi="ar-SA"/>
    </w:rPr>
  </w:style>
  <w:style w:type="paragraph" w:customStyle="1" w:styleId="Textbody">
    <w:name w:val="Text body"/>
    <w:basedOn w:val="Standard"/>
    <w:rsid w:val="002679FF"/>
    <w:pPr>
      <w:spacing w:after="120"/>
    </w:pPr>
  </w:style>
  <w:style w:type="paragraph" w:customStyle="1" w:styleId="TableContents">
    <w:name w:val="Table Contents"/>
    <w:basedOn w:val="Standard"/>
    <w:rsid w:val="002679FF"/>
    <w:pPr>
      <w:suppressLineNumbers/>
    </w:pPr>
  </w:style>
  <w:style w:type="table" w:customStyle="1" w:styleId="Tabelacomgrade1">
    <w:name w:val="Tabela com grade1"/>
    <w:basedOn w:val="Tabelanormal"/>
    <w:next w:val="Tabelacomgrade"/>
    <w:uiPriority w:val="39"/>
    <w:rsid w:val="001A5FF3"/>
    <w:rPr>
      <w:rFonts w:asciiTheme="minorHAnsi" w:eastAsia="Times New Roman" w:hAnsiTheme="minorHAnsi" w:cs="Times New Roman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D05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r-SA"/>
    </w:rPr>
  </w:style>
  <w:style w:type="paragraph" w:styleId="Citao">
    <w:name w:val="Quote"/>
    <w:basedOn w:val="Standard"/>
    <w:next w:val="Standard"/>
    <w:link w:val="CitaoChar"/>
    <w:rsid w:val="003A11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Arial"/>
      <w:i/>
      <w:iCs/>
      <w:color w:val="000000"/>
      <w:szCs w:val="24"/>
      <w:lang w:eastAsia="en-US" w:bidi="hi-IN"/>
    </w:rPr>
  </w:style>
  <w:style w:type="character" w:customStyle="1" w:styleId="CitaoChar">
    <w:name w:val="Citação Char"/>
    <w:basedOn w:val="Fontepargpadro"/>
    <w:link w:val="Citao"/>
    <w:rsid w:val="003A11C2"/>
    <w:rPr>
      <w:rFonts w:eastAsia="Calibri"/>
      <w:i/>
      <w:iCs/>
      <w:color w:val="000000"/>
      <w:kern w:val="3"/>
      <w:szCs w:val="24"/>
      <w:shd w:val="clear" w:color="auto" w:fill="FFFFCC"/>
      <w:lang w:eastAsia="en-US"/>
    </w:rPr>
  </w:style>
  <w:style w:type="paragraph" w:customStyle="1" w:styleId="Titredetableau">
    <w:name w:val="Titre de tableau"/>
    <w:rsid w:val="003A11C2"/>
    <w:pPr>
      <w:widowControl w:val="0"/>
      <w:suppressLineNumbers/>
      <w:shd w:val="clear" w:color="auto" w:fill="FFFFFF"/>
      <w:suppressAutoHyphens/>
      <w:autoSpaceDN w:val="0"/>
      <w:jc w:val="center"/>
      <w:textAlignment w:val="baseline"/>
    </w:pPr>
    <w:rPr>
      <w:rFonts w:ascii="Liberation Serif" w:eastAsia="NSimSun" w:hAnsi="Liberation Serif"/>
      <w:b/>
      <w:bCs/>
      <w:kern w:val="3"/>
      <w:sz w:val="24"/>
      <w:szCs w:val="24"/>
    </w:rPr>
  </w:style>
  <w:style w:type="paragraph" w:customStyle="1" w:styleId="Nivel1">
    <w:name w:val="Nivel1"/>
    <w:basedOn w:val="Ttulo1"/>
    <w:next w:val="Standard"/>
    <w:rsid w:val="003A11C2"/>
    <w:pPr>
      <w:widowControl/>
      <w:suppressAutoHyphens/>
      <w:autoSpaceDN w:val="0"/>
      <w:spacing w:before="0" w:line="276" w:lineRule="auto"/>
      <w:jc w:val="both"/>
      <w:textAlignment w:val="baseline"/>
    </w:pPr>
    <w:rPr>
      <w:bCs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esquisa.apps.tcu.gov.b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tcu.gov.br/biblioteca-digital/riscos-e-controles-nas-aquisicoes-rca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85145693fc5149be62b2688f68adce9c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ff0e5581c48b6ea94c52b45eefd705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8feb7-8a93-4c20-b015-23e942d9aefc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3F177-75F1-4742-BA50-FA0FF0AB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51268-C2CA-4520-A481-91DF47BDB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1615A-2730-473C-97AC-E7E4D4A1580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FD15861F-4802-40CA-80D8-B63F0183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1991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Unespar</dc:creator>
  <cp:lastModifiedBy>Barbara Zanini</cp:lastModifiedBy>
  <cp:revision>8</cp:revision>
  <cp:lastPrinted>2023-01-18T15:05:00Z</cp:lastPrinted>
  <dcterms:created xsi:type="dcterms:W3CDTF">2023-04-28T19:41:00Z</dcterms:created>
  <dcterms:modified xsi:type="dcterms:W3CDTF">2023-06-06T12:56:00Z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